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2B10" w:rsidRDefault="00A92B10">
      <w:pPr>
        <w:spacing w:after="0" w:line="240" w:lineRule="auto"/>
      </w:pPr>
    </w:p>
    <w:p w:rsidR="00A92B10" w:rsidRDefault="00A92B10">
      <w:pPr>
        <w:spacing w:after="0" w:line="240" w:lineRule="auto"/>
      </w:pPr>
    </w:p>
    <w:p w:rsidR="00A92B10" w:rsidRDefault="00236222">
      <w:pPr>
        <w:spacing w:after="0" w:line="240" w:lineRule="auto"/>
      </w:pPr>
      <w:r>
        <w:rPr>
          <w:b/>
          <w:sz w:val="28"/>
        </w:rPr>
        <w:t>Membership and Governance Proposal</w:t>
      </w:r>
    </w:p>
    <w:p w:rsidR="00A92B10" w:rsidRDefault="00236222">
      <w:pPr>
        <w:spacing w:after="0" w:line="240" w:lineRule="auto"/>
      </w:pPr>
      <w:r>
        <w:rPr>
          <w:b/>
          <w:sz w:val="24"/>
        </w:rPr>
        <w:t>April 10, 2014</w:t>
      </w:r>
    </w:p>
    <w:p w:rsidR="00A92B10" w:rsidRDefault="00A92B10"/>
    <w:p w:rsidR="00A92B10" w:rsidRDefault="00236222">
      <w:r>
        <w:t>Based on feedback and discussions following the annual Sponsor Summit, DuraSpace proposes the following iteration to the new membership/governance models:</w:t>
      </w:r>
    </w:p>
    <w:p w:rsidR="00A92B10" w:rsidRDefault="00A92B10"/>
    <w:p w:rsidR="00A92B10" w:rsidRDefault="00236222">
      <w:r>
        <w:rPr>
          <w:b/>
        </w:rPr>
        <w:t>Goals</w:t>
      </w:r>
    </w:p>
    <w:p w:rsidR="00A92B10" w:rsidRDefault="00236222">
      <w:pPr>
        <w:numPr>
          <w:ilvl w:val="0"/>
          <w:numId w:val="5"/>
        </w:numPr>
        <w:ind w:hanging="359"/>
      </w:pPr>
      <w:r>
        <w:t>Aim for consistency of membership and governance structure across projects to keep things simple and clear for members while at the same time providing opportunities for sufficient “customization” to meet the needs of individual projects.</w:t>
      </w:r>
    </w:p>
    <w:p w:rsidR="00A92B10" w:rsidRDefault="00236222">
      <w:pPr>
        <w:numPr>
          <w:ilvl w:val="0"/>
          <w:numId w:val="5"/>
        </w:numPr>
        <w:ind w:hanging="359"/>
      </w:pPr>
      <w:r>
        <w:t>Keep costs of adm</w:t>
      </w:r>
      <w:r>
        <w:t>inistration to a minimum.</w:t>
      </w:r>
    </w:p>
    <w:p w:rsidR="00A92B10" w:rsidRDefault="00236222">
      <w:pPr>
        <w:numPr>
          <w:ilvl w:val="0"/>
          <w:numId w:val="5"/>
        </w:numPr>
        <w:ind w:hanging="359"/>
      </w:pPr>
      <w:r>
        <w:t>Kick off the up-coming fund-raising period with a transition to membership while deferring changes to governance in order to give projects time to settle on the specifics of their model.</w:t>
      </w:r>
    </w:p>
    <w:p w:rsidR="00A92B10" w:rsidRDefault="00236222">
      <w:pPr>
        <w:numPr>
          <w:ilvl w:val="0"/>
          <w:numId w:val="5"/>
        </w:numPr>
        <w:ind w:hanging="359"/>
      </w:pPr>
      <w:r>
        <w:t>Honor commitment, action, and merit!  Let t</w:t>
      </w:r>
      <w:r>
        <w:t>he individuals who want to help the project have an opportunity to do so.</w:t>
      </w:r>
    </w:p>
    <w:p w:rsidR="00A92B10" w:rsidRDefault="00236222">
      <w:pPr>
        <w:numPr>
          <w:ilvl w:val="0"/>
          <w:numId w:val="5"/>
        </w:numPr>
        <w:ind w:hanging="359"/>
      </w:pPr>
      <w:r>
        <w:t>Allow current Sponsors (100) to easily transition to membership without confusion or needing to reassess their current level of commitment.</w:t>
      </w:r>
    </w:p>
    <w:p w:rsidR="00A92B10" w:rsidRDefault="00236222">
      <w:pPr>
        <w:numPr>
          <w:ilvl w:val="0"/>
          <w:numId w:val="5"/>
        </w:numPr>
        <w:ind w:hanging="359"/>
      </w:pPr>
      <w:r>
        <w:t>Encourage new users to join as members due</w:t>
      </w:r>
      <w:r>
        <w:t xml:space="preserve"> to added benefits, and governance participation, ideally growing the base of support for all projects and the DuraSpace organization at large.</w:t>
      </w:r>
    </w:p>
    <w:p w:rsidR="00A92B10" w:rsidRDefault="00A92B10">
      <w:pPr>
        <w:ind w:left="360"/>
      </w:pPr>
    </w:p>
    <w:p w:rsidR="00A92B10" w:rsidRDefault="00236222">
      <w:r>
        <w:rPr>
          <w:b/>
        </w:rPr>
        <w:t>Membership Levels</w:t>
      </w:r>
    </w:p>
    <w:p w:rsidR="00A92B10" w:rsidRDefault="00236222">
      <w:pPr>
        <w:numPr>
          <w:ilvl w:val="0"/>
          <w:numId w:val="4"/>
        </w:numPr>
        <w:ind w:hanging="359"/>
      </w:pPr>
      <w:r>
        <w:t>Institutions become Members of DuraSpace.  They are able to direct their membership fees to o</w:t>
      </w:r>
      <w:r>
        <w:t>ne or more projects</w:t>
      </w:r>
    </w:p>
    <w:p w:rsidR="00A92B10" w:rsidRDefault="00236222">
      <w:pPr>
        <w:numPr>
          <w:ilvl w:val="0"/>
          <w:numId w:val="4"/>
        </w:numPr>
        <w:ind w:hanging="359"/>
      </w:pPr>
      <w:r>
        <w:t>Membership levels are as follows:</w:t>
      </w:r>
    </w:p>
    <w:tbl>
      <w:tblPr>
        <w:tblW w:w="3957" w:type="dxa"/>
        <w:tblInd w:w="1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08"/>
        <w:gridCol w:w="1749"/>
      </w:tblGrid>
      <w:tr w:rsidR="00A92B10">
        <w:trPr>
          <w:trHeight w:val="260"/>
        </w:trPr>
        <w:tc>
          <w:tcPr>
            <w:tcW w:w="2208" w:type="dxa"/>
            <w:shd w:val="clear" w:color="auto" w:fill="DDD9C4"/>
            <w:tcMar>
              <w:left w:w="108" w:type="dxa"/>
              <w:right w:w="108" w:type="dxa"/>
            </w:tcMar>
          </w:tcPr>
          <w:p w:rsidR="00A92B10" w:rsidRDefault="00236222">
            <w:pPr>
              <w:spacing w:after="0" w:line="240" w:lineRule="auto"/>
            </w:pPr>
            <w:r>
              <w:rPr>
                <w:b/>
              </w:rPr>
              <w:t>Membership Level</w:t>
            </w:r>
          </w:p>
        </w:tc>
        <w:tc>
          <w:tcPr>
            <w:tcW w:w="1749" w:type="dxa"/>
            <w:shd w:val="clear" w:color="auto" w:fill="DDD9C4"/>
            <w:tcMar>
              <w:left w:w="108" w:type="dxa"/>
              <w:right w:w="108" w:type="dxa"/>
            </w:tcMar>
          </w:tcPr>
          <w:p w:rsidR="00A92B10" w:rsidRDefault="00236222">
            <w:pPr>
              <w:spacing w:after="0" w:line="240" w:lineRule="auto"/>
            </w:pPr>
            <w:r>
              <w:rPr>
                <w:b/>
              </w:rPr>
              <w:t>Annual Fee</w:t>
            </w:r>
          </w:p>
        </w:tc>
      </w:tr>
      <w:tr w:rsidR="00A92B10">
        <w:trPr>
          <w:trHeight w:val="260"/>
        </w:trPr>
        <w:tc>
          <w:tcPr>
            <w:tcW w:w="2208" w:type="dxa"/>
            <w:tcMar>
              <w:left w:w="108" w:type="dxa"/>
              <w:right w:w="108" w:type="dxa"/>
            </w:tcMar>
          </w:tcPr>
          <w:p w:rsidR="00A92B10" w:rsidRDefault="00236222">
            <w:pPr>
              <w:spacing w:after="0" w:line="240" w:lineRule="auto"/>
            </w:pPr>
            <w:r>
              <w:t>Bronze</w:t>
            </w:r>
          </w:p>
        </w:tc>
        <w:tc>
          <w:tcPr>
            <w:tcW w:w="1749" w:type="dxa"/>
            <w:tcMar>
              <w:left w:w="108" w:type="dxa"/>
              <w:right w:w="108" w:type="dxa"/>
            </w:tcMar>
          </w:tcPr>
          <w:p w:rsidR="00A92B10" w:rsidRDefault="00236222">
            <w:pPr>
              <w:spacing w:after="0" w:line="240" w:lineRule="auto"/>
              <w:jc w:val="right"/>
            </w:pPr>
            <w:r>
              <w:t xml:space="preserve">$2,500 </w:t>
            </w:r>
          </w:p>
        </w:tc>
      </w:tr>
      <w:tr w:rsidR="00A92B10">
        <w:trPr>
          <w:trHeight w:val="260"/>
        </w:trPr>
        <w:tc>
          <w:tcPr>
            <w:tcW w:w="2208" w:type="dxa"/>
            <w:tcMar>
              <w:left w:w="108" w:type="dxa"/>
              <w:right w:w="108" w:type="dxa"/>
            </w:tcMar>
          </w:tcPr>
          <w:p w:rsidR="00A92B10" w:rsidRDefault="00236222">
            <w:pPr>
              <w:spacing w:after="0" w:line="240" w:lineRule="auto"/>
            </w:pPr>
            <w:r>
              <w:t>Silver</w:t>
            </w:r>
          </w:p>
        </w:tc>
        <w:tc>
          <w:tcPr>
            <w:tcW w:w="1749" w:type="dxa"/>
            <w:tcMar>
              <w:left w:w="108" w:type="dxa"/>
              <w:right w:w="108" w:type="dxa"/>
            </w:tcMar>
          </w:tcPr>
          <w:p w:rsidR="00A92B10" w:rsidRDefault="00236222">
            <w:pPr>
              <w:spacing w:after="0" w:line="240" w:lineRule="auto"/>
              <w:jc w:val="right"/>
            </w:pPr>
            <w:r>
              <w:t xml:space="preserve">$5,000 </w:t>
            </w:r>
          </w:p>
        </w:tc>
      </w:tr>
      <w:tr w:rsidR="00A92B10">
        <w:trPr>
          <w:trHeight w:val="260"/>
        </w:trPr>
        <w:tc>
          <w:tcPr>
            <w:tcW w:w="2208" w:type="dxa"/>
            <w:tcMar>
              <w:left w:w="108" w:type="dxa"/>
              <w:right w:w="108" w:type="dxa"/>
            </w:tcMar>
          </w:tcPr>
          <w:p w:rsidR="00A92B10" w:rsidRDefault="00236222">
            <w:pPr>
              <w:spacing w:after="0" w:line="240" w:lineRule="auto"/>
            </w:pPr>
            <w:r>
              <w:lastRenderedPageBreak/>
              <w:t>Gold</w:t>
            </w:r>
          </w:p>
        </w:tc>
        <w:tc>
          <w:tcPr>
            <w:tcW w:w="1749" w:type="dxa"/>
            <w:tcMar>
              <w:left w:w="108" w:type="dxa"/>
              <w:right w:w="108" w:type="dxa"/>
            </w:tcMar>
          </w:tcPr>
          <w:p w:rsidR="00A92B10" w:rsidRDefault="00236222">
            <w:pPr>
              <w:spacing w:after="0" w:line="240" w:lineRule="auto"/>
              <w:jc w:val="right"/>
            </w:pPr>
            <w:r>
              <w:t xml:space="preserve">$10,000 </w:t>
            </w:r>
          </w:p>
        </w:tc>
      </w:tr>
      <w:tr w:rsidR="00A92B10">
        <w:trPr>
          <w:trHeight w:val="260"/>
        </w:trPr>
        <w:tc>
          <w:tcPr>
            <w:tcW w:w="2208" w:type="dxa"/>
            <w:tcMar>
              <w:left w:w="108" w:type="dxa"/>
              <w:right w:w="108" w:type="dxa"/>
            </w:tcMar>
          </w:tcPr>
          <w:p w:rsidR="00A92B10" w:rsidRDefault="00236222">
            <w:pPr>
              <w:spacing w:after="0" w:line="240" w:lineRule="auto"/>
            </w:pPr>
            <w:r>
              <w:t>Platinum</w:t>
            </w:r>
          </w:p>
        </w:tc>
        <w:tc>
          <w:tcPr>
            <w:tcW w:w="1749" w:type="dxa"/>
            <w:tcMar>
              <w:left w:w="108" w:type="dxa"/>
              <w:right w:w="108" w:type="dxa"/>
            </w:tcMar>
          </w:tcPr>
          <w:p w:rsidR="00A92B10" w:rsidRDefault="00236222">
            <w:pPr>
              <w:spacing w:after="0" w:line="240" w:lineRule="auto"/>
              <w:jc w:val="right"/>
            </w:pPr>
            <w:r>
              <w:t xml:space="preserve">$20,000+ </w:t>
            </w:r>
          </w:p>
        </w:tc>
      </w:tr>
    </w:tbl>
    <w:p w:rsidR="00A92B10" w:rsidRDefault="00A92B10">
      <w:pPr>
        <w:ind w:left="360"/>
      </w:pPr>
    </w:p>
    <w:p w:rsidR="00A92B10" w:rsidRDefault="00236222">
      <w:pPr>
        <w:numPr>
          <w:ilvl w:val="1"/>
          <w:numId w:val="4"/>
        </w:numPr>
        <w:ind w:hanging="359"/>
      </w:pPr>
      <w:r>
        <w:t xml:space="preserve">Institutions from developing nations may join as a </w:t>
      </w:r>
      <w:r>
        <w:t>Discounted Bronze</w:t>
      </w:r>
      <w:r>
        <w:t xml:space="preserve"> Member for a fee of $250.  A formal </w:t>
      </w:r>
      <w:r>
        <w:t xml:space="preserve">list </w:t>
      </w:r>
      <w:r>
        <w:t xml:space="preserve">of </w:t>
      </w:r>
      <w:r>
        <w:t xml:space="preserve">developing nations would be adopted from a standard source. </w:t>
      </w:r>
    </w:p>
    <w:p w:rsidR="00A92B10" w:rsidRDefault="00236222">
      <w:pPr>
        <w:numPr>
          <w:ilvl w:val="1"/>
          <w:numId w:val="4"/>
        </w:numPr>
        <w:ind w:hanging="359"/>
      </w:pPr>
      <w:r>
        <w:t xml:space="preserve">We will consider requests for Consortium Membership on an individual basis but will not publicize </w:t>
      </w:r>
      <w:r>
        <w:t>during this membership campaign</w:t>
      </w:r>
      <w:r>
        <w:t>.</w:t>
      </w:r>
    </w:p>
    <w:p w:rsidR="00A92B10" w:rsidRDefault="00236222">
      <w:pPr>
        <w:numPr>
          <w:ilvl w:val="1"/>
          <w:numId w:val="4"/>
        </w:numPr>
        <w:ind w:hanging="359"/>
      </w:pPr>
      <w:r>
        <w:t xml:space="preserve">The </w:t>
      </w:r>
      <w:r>
        <w:t>Diamond membership category will be discontinued.  I</w:t>
      </w:r>
      <w:r>
        <w:t>ndividual projects may seek additional funding from Members to support specific development efforts.  For example, the Fedora project will maintain its $30,000 funding level for one more year to ensure its current revenue level during the transition to mem</w:t>
      </w:r>
      <w:r>
        <w:t xml:space="preserve">bership. Institutions contributing more than $20,000 will be considered Platinum members </w:t>
      </w:r>
      <w:r>
        <w:t>with</w:t>
      </w:r>
      <w:r>
        <w:t xml:space="preserve"> special recognition</w:t>
      </w:r>
      <w:r>
        <w:t>.</w:t>
      </w:r>
    </w:p>
    <w:p w:rsidR="00A92B10" w:rsidRDefault="00236222">
      <w:pPr>
        <w:numPr>
          <w:ilvl w:val="0"/>
          <w:numId w:val="4"/>
        </w:numPr>
        <w:ind w:hanging="359"/>
      </w:pPr>
      <w:r>
        <w:t>Institutions receive DuraSpace benefits associated with their membership level.  If they choose to support a specific project with their memb</w:t>
      </w:r>
      <w:r>
        <w:t>ership fees, they also receive project-specific governance benefits appropriate to their level of commitment.</w:t>
      </w:r>
    </w:p>
    <w:p w:rsidR="00A92B10" w:rsidRDefault="00236222">
      <w:pPr>
        <w:ind w:left="720"/>
      </w:pPr>
      <w:r>
        <w:t>Ex. 1:  Institution A joins DuraSpace as a Gold Member @ $10,000 and allocates its fee to the VIVO project.  Institution A will receive all DuraSp</w:t>
      </w:r>
      <w:r>
        <w:t>ace Gold benefits and all VIVO- specific benefits at the Gold level.</w:t>
      </w:r>
    </w:p>
    <w:p w:rsidR="00A92B10" w:rsidRDefault="00236222">
      <w:pPr>
        <w:ind w:left="720"/>
      </w:pPr>
      <w:r>
        <w:t xml:space="preserve">Ex. 2: Institution B joins DuraSpace as a Gold Member @ $10,000 and allocates half its fee to support VIVO ($5,000) and the other half to DSpace ($5,000).  Institution B will receive all </w:t>
      </w:r>
      <w:r>
        <w:t xml:space="preserve">DuraSpace Gold benefits, VIVO-specific governance benefits </w:t>
      </w:r>
      <w:r>
        <w:t>tied to their level of investment in VIVO</w:t>
      </w:r>
      <w:r>
        <w:t xml:space="preserve">, and DSpace-specific governance benefits appropriate to their </w:t>
      </w:r>
      <w:r>
        <w:t>DSpace investment</w:t>
      </w:r>
      <w:r>
        <w:t xml:space="preserve">.  </w:t>
      </w:r>
    </w:p>
    <w:p w:rsidR="00A92B10" w:rsidRDefault="00236222">
      <w:pPr>
        <w:ind w:left="720"/>
      </w:pPr>
      <w:r>
        <w:rPr>
          <w:i/>
        </w:rPr>
        <w:t>Recommendation:  Err on the side of inclusivity.  If a Silver member has</w:t>
      </w:r>
      <w:r>
        <w:rPr>
          <w:i/>
        </w:rPr>
        <w:t xml:space="preserve"> the time and commitment to work on behalf of the project at a level commensurate to a Gold member, we should take advantage of, and recognize, the contribution.</w:t>
      </w:r>
    </w:p>
    <w:p w:rsidR="00A92B10" w:rsidRDefault="00A92B10">
      <w:pPr>
        <w:ind w:left="720"/>
      </w:pPr>
    </w:p>
    <w:p w:rsidR="00A92B10" w:rsidRDefault="00236222">
      <w:r>
        <w:rPr>
          <w:b/>
        </w:rPr>
        <w:t>Membership Benefits</w:t>
      </w:r>
    </w:p>
    <w:p w:rsidR="00A92B10" w:rsidRDefault="00236222">
      <w:r>
        <w:rPr>
          <w:i/>
        </w:rPr>
        <w:t>See Attachment A</w:t>
      </w:r>
      <w:r>
        <w:t>.  The list of benefits does not specify a lot of detail around participation in project governance, except for some high level policies.  Each project will determine the exact mapping of membership levels to the governance model.  DuraSpace will work with</w:t>
      </w:r>
      <w:r>
        <w:t xml:space="preserve"> project steering groups to resolve any extreme policy differences that emerge between projects.</w:t>
      </w:r>
    </w:p>
    <w:p w:rsidR="00A92B10" w:rsidRDefault="00236222">
      <w:r>
        <w:rPr>
          <w:b/>
        </w:rPr>
        <w:lastRenderedPageBreak/>
        <w:t>Governance</w:t>
      </w:r>
    </w:p>
    <w:p w:rsidR="00A92B10" w:rsidRDefault="00236222">
      <w:r>
        <w:rPr>
          <w:i/>
        </w:rPr>
        <w:t>See Attachment B</w:t>
      </w:r>
      <w:r>
        <w:t>.  The following policies will apply across all projects:  Will be adapted according to policies of any new projects…etc.</w:t>
      </w:r>
    </w:p>
    <w:p w:rsidR="00A92B10" w:rsidRDefault="00236222">
      <w:pPr>
        <w:numPr>
          <w:ilvl w:val="0"/>
          <w:numId w:val="3"/>
        </w:numPr>
        <w:ind w:left="720" w:hanging="359"/>
      </w:pPr>
      <w:r>
        <w:t>The govern</w:t>
      </w:r>
      <w:r>
        <w:t xml:space="preserve">ance model for each project will include a Leadership Group representing institutions that have made significant commitments to the project, including level of membership contribution, amount of in-kind developer support </w:t>
      </w:r>
      <w:r>
        <w:rPr>
          <w:i/>
        </w:rPr>
        <w:t>(Recommendation:  &gt; 0.5 FTE/</w:t>
      </w:r>
      <w:proofErr w:type="spellStart"/>
      <w:r>
        <w:rPr>
          <w:i/>
        </w:rPr>
        <w:t>yr</w:t>
      </w:r>
      <w:proofErr w:type="spellEnd"/>
      <w:r>
        <w:t>), or</w:t>
      </w:r>
      <w:r>
        <w:t xml:space="preserve"> other criteria agreed to by DuraSpace.  The Leadership Group determines policy on key issues presented by Steering (e.g., strategic direction, annual budget allocations).  Platinum level Members will be guaranteed a seat in the Leadership Group</w:t>
      </w:r>
      <w:r>
        <w:t>.  Gold lev</w:t>
      </w:r>
      <w:r>
        <w:t>el Members will be eligible to play a role in governance also, as determined by each project.</w:t>
      </w:r>
    </w:p>
    <w:p w:rsidR="00A92B10" w:rsidRDefault="00236222">
      <w:pPr>
        <w:numPr>
          <w:ilvl w:val="0"/>
          <w:numId w:val="3"/>
        </w:numPr>
        <w:ind w:left="720" w:hanging="359"/>
      </w:pPr>
      <w:r>
        <w:t>A Project Steering Group will represent stakeholders in the day-to-day oversight of the project, including budget and fund-raising goals, operations, deliverables</w:t>
      </w:r>
      <w:r>
        <w:t xml:space="preserve">, and roadmap.  Project Staff (e.g., Technical Lead, Project Director, </w:t>
      </w:r>
      <w:proofErr w:type="gramStart"/>
      <w:r>
        <w:t>Product</w:t>
      </w:r>
      <w:proofErr w:type="gramEnd"/>
      <w:r>
        <w:t xml:space="preserve"> Manager) will be managed by DuraSpace and will take direction from the Steering Group.</w:t>
      </w:r>
    </w:p>
    <w:p w:rsidR="00A92B10" w:rsidRDefault="00236222">
      <w:pPr>
        <w:numPr>
          <w:ilvl w:val="0"/>
          <w:numId w:val="3"/>
        </w:numPr>
        <w:ind w:left="720" w:hanging="359"/>
      </w:pPr>
      <w:r>
        <w:t>Standing or temporary Working Groups may be formed at the discretion of the Steering Group</w:t>
      </w:r>
      <w:r>
        <w:t xml:space="preserve">.  </w:t>
      </w:r>
      <w:r>
        <w:rPr>
          <w:i/>
        </w:rPr>
        <w:t>(Recommendation:  Working Groups should be open to participation by all Members</w:t>
      </w:r>
      <w:r>
        <w:t xml:space="preserve">). </w:t>
      </w:r>
    </w:p>
    <w:p w:rsidR="00A92B10" w:rsidRDefault="00236222">
      <w:pPr>
        <w:numPr>
          <w:ilvl w:val="0"/>
          <w:numId w:val="3"/>
        </w:numPr>
        <w:ind w:left="720" w:hanging="359"/>
      </w:pPr>
      <w:r>
        <w:t>Projects should strive to be inclusive with respect to elected representation in these groups</w:t>
      </w:r>
    </w:p>
    <w:p w:rsidR="00A92B10" w:rsidRDefault="00236222">
      <w:pPr>
        <w:numPr>
          <w:ilvl w:val="0"/>
          <w:numId w:val="3"/>
        </w:numPr>
        <w:ind w:left="720" w:hanging="359"/>
      </w:pPr>
      <w:r>
        <w:t xml:space="preserve">Every member institution may participate in the </w:t>
      </w:r>
      <w:r>
        <w:t>nomination and</w:t>
      </w:r>
      <w:r>
        <w:t xml:space="preserve"> electi</w:t>
      </w:r>
      <w:r>
        <w:t>on of</w:t>
      </w:r>
      <w:r>
        <w:t xml:space="preserve"> o</w:t>
      </w:r>
      <w:r>
        <w:t xml:space="preserve">ne at-large DuraSpace </w:t>
      </w:r>
      <w:r>
        <w:t>B</w:t>
      </w:r>
      <w:r>
        <w:t>oard member</w:t>
      </w:r>
      <w:proofErr w:type="gramStart"/>
      <w:r>
        <w:t>.</w:t>
      </w:r>
      <w:r>
        <w:t>.</w:t>
      </w:r>
      <w:proofErr w:type="gramEnd"/>
      <w:r>
        <w:t xml:space="preserve">  </w:t>
      </w:r>
    </w:p>
    <w:p w:rsidR="00A92B10" w:rsidRDefault="00236222">
      <w:pPr>
        <w:numPr>
          <w:ilvl w:val="0"/>
          <w:numId w:val="3"/>
        </w:numPr>
        <w:ind w:left="720" w:hanging="359"/>
      </w:pPr>
      <w:r>
        <w:t xml:space="preserve">Each Project Steering Group may </w:t>
      </w:r>
      <w:r>
        <w:t xml:space="preserve">choose </w:t>
      </w:r>
      <w:r>
        <w:t>a representative to serve on the DuraSpace board</w:t>
      </w:r>
      <w:r>
        <w:t>.</w:t>
      </w:r>
    </w:p>
    <w:p w:rsidR="00A92B10" w:rsidRDefault="00A92B10"/>
    <w:p w:rsidR="00A92B10" w:rsidRDefault="00236222">
      <w:r>
        <w:br w:type="page"/>
      </w:r>
    </w:p>
    <w:p w:rsidR="00A92B10" w:rsidRDefault="00236222">
      <w:pPr>
        <w:spacing w:after="0" w:line="240" w:lineRule="auto"/>
      </w:pPr>
      <w:proofErr w:type="gramStart"/>
      <w:r>
        <w:rPr>
          <w:b/>
        </w:rPr>
        <w:lastRenderedPageBreak/>
        <w:t>Attachment A.</w:t>
      </w:r>
      <w:proofErr w:type="gramEnd"/>
      <w:r>
        <w:rPr>
          <w:b/>
        </w:rPr>
        <w:t xml:space="preserve">  </w:t>
      </w:r>
    </w:p>
    <w:p w:rsidR="00A92B10" w:rsidRDefault="00A92B10">
      <w:pPr>
        <w:spacing w:after="0" w:line="240" w:lineRule="auto"/>
      </w:pPr>
    </w:p>
    <w:p w:rsidR="00A92B10" w:rsidRDefault="00236222">
      <w:pPr>
        <w:spacing w:after="0" w:line="240" w:lineRule="auto"/>
      </w:pPr>
      <w:r>
        <w:rPr>
          <w:b/>
        </w:rPr>
        <w:t>Membership Benefits</w:t>
      </w:r>
    </w:p>
    <w:p w:rsidR="00A92B10" w:rsidRDefault="00A92B10"/>
    <w:tbl>
      <w:tblPr>
        <w:tblW w:w="83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20"/>
        <w:gridCol w:w="2220"/>
        <w:gridCol w:w="3940"/>
      </w:tblGrid>
      <w:tr w:rsidR="00A92B10">
        <w:trPr>
          <w:trHeight w:val="300"/>
        </w:trPr>
        <w:tc>
          <w:tcPr>
            <w:tcW w:w="2220" w:type="dxa"/>
            <w:shd w:val="clear" w:color="auto" w:fill="DDD9C4"/>
            <w:tcMar>
              <w:left w:w="108" w:type="dxa"/>
              <w:right w:w="108" w:type="dxa"/>
            </w:tcMar>
          </w:tcPr>
          <w:p w:rsidR="00A92B10" w:rsidRDefault="00236222">
            <w:pPr>
              <w:spacing w:after="0" w:line="240" w:lineRule="auto"/>
            </w:pPr>
            <w:r>
              <w:rPr>
                <w:b/>
              </w:rPr>
              <w:t>Level</w:t>
            </w:r>
          </w:p>
        </w:tc>
        <w:tc>
          <w:tcPr>
            <w:tcW w:w="2220" w:type="dxa"/>
            <w:shd w:val="clear" w:color="auto" w:fill="DDD9C4"/>
            <w:tcMar>
              <w:left w:w="108" w:type="dxa"/>
              <w:right w:w="108" w:type="dxa"/>
            </w:tcMar>
          </w:tcPr>
          <w:p w:rsidR="00A92B10" w:rsidRDefault="00236222">
            <w:pPr>
              <w:spacing w:after="0" w:line="240" w:lineRule="auto"/>
            </w:pPr>
            <w:r>
              <w:rPr>
                <w:b/>
              </w:rPr>
              <w:t>Category</w:t>
            </w:r>
          </w:p>
        </w:tc>
        <w:tc>
          <w:tcPr>
            <w:tcW w:w="3940" w:type="dxa"/>
            <w:shd w:val="clear" w:color="auto" w:fill="DDD9C4"/>
            <w:tcMar>
              <w:left w:w="108" w:type="dxa"/>
              <w:right w:w="108" w:type="dxa"/>
            </w:tcMar>
          </w:tcPr>
          <w:p w:rsidR="00A92B10" w:rsidRDefault="00236222">
            <w:pPr>
              <w:spacing w:after="0" w:line="240" w:lineRule="auto"/>
            </w:pPr>
            <w:r>
              <w:rPr>
                <w:b/>
              </w:rPr>
              <w:t>Benefit</w:t>
            </w:r>
          </w:p>
        </w:tc>
      </w:tr>
      <w:tr w:rsidR="00A92B10">
        <w:trPr>
          <w:trHeight w:val="660"/>
        </w:trPr>
        <w:tc>
          <w:tcPr>
            <w:tcW w:w="2220" w:type="dxa"/>
            <w:tcMar>
              <w:left w:w="108" w:type="dxa"/>
              <w:right w:w="108" w:type="dxa"/>
            </w:tcMar>
          </w:tcPr>
          <w:p w:rsidR="00A92B10" w:rsidRDefault="00236222">
            <w:pPr>
              <w:spacing w:after="0" w:line="240" w:lineRule="auto"/>
            </w:pPr>
            <w:r>
              <w:rPr>
                <w:rFonts w:ascii="Arial" w:eastAsia="Arial" w:hAnsi="Arial" w:cs="Arial"/>
                <w:sz w:val="20"/>
              </w:rPr>
              <w:t>Bronze &amp; above</w:t>
            </w:r>
          </w:p>
        </w:tc>
        <w:tc>
          <w:tcPr>
            <w:tcW w:w="2220" w:type="dxa"/>
            <w:tcMar>
              <w:left w:w="108" w:type="dxa"/>
              <w:right w:w="108" w:type="dxa"/>
            </w:tcMar>
          </w:tcPr>
          <w:p w:rsidR="00A92B10" w:rsidRDefault="00236222">
            <w:pPr>
              <w:spacing w:after="0" w:line="240" w:lineRule="auto"/>
            </w:pPr>
            <w:r>
              <w:rPr>
                <w:rFonts w:ascii="Arial" w:eastAsia="Arial" w:hAnsi="Arial" w:cs="Arial"/>
                <w:sz w:val="20"/>
              </w:rPr>
              <w:t>Information dissemination</w:t>
            </w:r>
          </w:p>
        </w:tc>
        <w:tc>
          <w:tcPr>
            <w:tcW w:w="3940" w:type="dxa"/>
            <w:tcMar>
              <w:left w:w="108" w:type="dxa"/>
              <w:right w:w="108" w:type="dxa"/>
            </w:tcMar>
          </w:tcPr>
          <w:p w:rsidR="00A92B10" w:rsidRDefault="00236222">
            <w:pPr>
              <w:spacing w:after="0" w:line="240" w:lineRule="auto"/>
            </w:pPr>
            <w:r>
              <w:rPr>
                <w:rFonts w:ascii="Arial" w:eastAsia="Arial" w:hAnsi="Arial" w:cs="Arial"/>
                <w:sz w:val="20"/>
              </w:rPr>
              <w:t>Annual review webinar for members</w:t>
            </w:r>
          </w:p>
        </w:tc>
      </w:tr>
      <w:tr w:rsidR="00A92B10">
        <w:trPr>
          <w:trHeight w:val="860"/>
        </w:trPr>
        <w:tc>
          <w:tcPr>
            <w:tcW w:w="2220" w:type="dxa"/>
            <w:tcMar>
              <w:left w:w="108" w:type="dxa"/>
              <w:right w:w="108" w:type="dxa"/>
            </w:tcMar>
          </w:tcPr>
          <w:p w:rsidR="00A92B10" w:rsidRDefault="00236222">
            <w:pPr>
              <w:spacing w:after="0" w:line="240" w:lineRule="auto"/>
            </w:pPr>
            <w:r>
              <w:rPr>
                <w:rFonts w:ascii="Arial" w:eastAsia="Arial" w:hAnsi="Arial" w:cs="Arial"/>
                <w:sz w:val="20"/>
              </w:rPr>
              <w:t>Bronze &amp; above</w:t>
            </w:r>
          </w:p>
        </w:tc>
        <w:tc>
          <w:tcPr>
            <w:tcW w:w="2220" w:type="dxa"/>
            <w:tcMar>
              <w:left w:w="108" w:type="dxa"/>
              <w:right w:w="108" w:type="dxa"/>
            </w:tcMar>
          </w:tcPr>
          <w:p w:rsidR="00A92B10" w:rsidRDefault="00236222">
            <w:pPr>
              <w:spacing w:after="0" w:line="240" w:lineRule="auto"/>
            </w:pPr>
            <w:r>
              <w:rPr>
                <w:rFonts w:ascii="Arial" w:eastAsia="Arial" w:hAnsi="Arial" w:cs="Arial"/>
                <w:sz w:val="20"/>
              </w:rPr>
              <w:t>Information dissemination</w:t>
            </w:r>
          </w:p>
        </w:tc>
        <w:tc>
          <w:tcPr>
            <w:tcW w:w="3940" w:type="dxa"/>
            <w:tcMar>
              <w:left w:w="108" w:type="dxa"/>
              <w:right w:w="108" w:type="dxa"/>
            </w:tcMar>
          </w:tcPr>
          <w:p w:rsidR="00A92B10" w:rsidRDefault="00236222">
            <w:pPr>
              <w:spacing w:after="0" w:line="240" w:lineRule="auto"/>
            </w:pPr>
            <w:r>
              <w:rPr>
                <w:rFonts w:ascii="Arial" w:eastAsia="Arial" w:hAnsi="Arial" w:cs="Arial"/>
                <w:sz w:val="20"/>
              </w:rPr>
              <w:t>Member organizations will receive advanced news of project announcements and activities</w:t>
            </w:r>
            <w:r>
              <w:rPr>
                <w:rFonts w:ascii="Arial" w:eastAsia="Arial" w:hAnsi="Arial" w:cs="Arial"/>
                <w:sz w:val="20"/>
                <w:vertAlign w:val="superscript"/>
              </w:rPr>
              <w:footnoteReference w:id="1"/>
            </w:r>
          </w:p>
        </w:tc>
      </w:tr>
      <w:tr w:rsidR="00A92B10">
        <w:trPr>
          <w:trHeight w:val="400"/>
        </w:trPr>
        <w:tc>
          <w:tcPr>
            <w:tcW w:w="2220" w:type="dxa"/>
            <w:tcMar>
              <w:left w:w="108" w:type="dxa"/>
              <w:right w:w="108" w:type="dxa"/>
            </w:tcMar>
          </w:tcPr>
          <w:p w:rsidR="00A92B10" w:rsidRDefault="00236222">
            <w:pPr>
              <w:spacing w:after="0" w:line="240" w:lineRule="auto"/>
            </w:pPr>
            <w:r>
              <w:rPr>
                <w:rFonts w:ascii="Arial" w:eastAsia="Arial" w:hAnsi="Arial" w:cs="Arial"/>
                <w:sz w:val="20"/>
              </w:rPr>
              <w:t>Bronze &amp; above</w:t>
            </w:r>
          </w:p>
        </w:tc>
        <w:tc>
          <w:tcPr>
            <w:tcW w:w="2220" w:type="dxa"/>
            <w:tcMar>
              <w:left w:w="108" w:type="dxa"/>
              <w:right w:w="108" w:type="dxa"/>
            </w:tcMar>
          </w:tcPr>
          <w:p w:rsidR="00A92B10" w:rsidRDefault="00236222">
            <w:pPr>
              <w:spacing w:after="0" w:line="240" w:lineRule="auto"/>
            </w:pPr>
            <w:r>
              <w:rPr>
                <w:rFonts w:ascii="Arial" w:eastAsia="Arial" w:hAnsi="Arial" w:cs="Arial"/>
                <w:sz w:val="20"/>
              </w:rPr>
              <w:t>General</w:t>
            </w:r>
          </w:p>
        </w:tc>
        <w:tc>
          <w:tcPr>
            <w:tcW w:w="3940" w:type="dxa"/>
            <w:tcMar>
              <w:left w:w="108" w:type="dxa"/>
              <w:right w:w="108" w:type="dxa"/>
            </w:tcMar>
          </w:tcPr>
          <w:p w:rsidR="00A92B10" w:rsidRDefault="00236222">
            <w:pPr>
              <w:spacing w:after="0" w:line="240" w:lineRule="auto"/>
            </w:pPr>
            <w:r>
              <w:rPr>
                <w:rFonts w:ascii="Arial" w:eastAsia="Arial" w:hAnsi="Arial" w:cs="Arial"/>
                <w:sz w:val="20"/>
              </w:rPr>
              <w:t>Project Member logo for member use</w:t>
            </w:r>
          </w:p>
        </w:tc>
      </w:tr>
      <w:tr w:rsidR="00A92B10">
        <w:trPr>
          <w:trHeight w:val="580"/>
        </w:trPr>
        <w:tc>
          <w:tcPr>
            <w:tcW w:w="2220" w:type="dxa"/>
            <w:tcMar>
              <w:left w:w="108" w:type="dxa"/>
              <w:right w:w="108" w:type="dxa"/>
            </w:tcMar>
          </w:tcPr>
          <w:p w:rsidR="00A92B10" w:rsidRDefault="00236222">
            <w:pPr>
              <w:spacing w:after="0" w:line="240" w:lineRule="auto"/>
            </w:pPr>
            <w:r>
              <w:rPr>
                <w:rFonts w:ascii="Arial" w:eastAsia="Arial" w:hAnsi="Arial" w:cs="Arial"/>
                <w:sz w:val="20"/>
              </w:rPr>
              <w:t>Bronze &amp; above</w:t>
            </w:r>
          </w:p>
        </w:tc>
        <w:tc>
          <w:tcPr>
            <w:tcW w:w="2220" w:type="dxa"/>
            <w:tcMar>
              <w:left w:w="108" w:type="dxa"/>
              <w:right w:w="108" w:type="dxa"/>
            </w:tcMar>
          </w:tcPr>
          <w:p w:rsidR="00A92B10" w:rsidRDefault="00236222">
            <w:pPr>
              <w:spacing w:after="0" w:line="240" w:lineRule="auto"/>
            </w:pPr>
            <w:r>
              <w:rPr>
                <w:rFonts w:ascii="Arial" w:eastAsia="Arial" w:hAnsi="Arial" w:cs="Arial"/>
                <w:sz w:val="20"/>
              </w:rPr>
              <w:t>General</w:t>
            </w:r>
          </w:p>
        </w:tc>
        <w:tc>
          <w:tcPr>
            <w:tcW w:w="3940" w:type="dxa"/>
            <w:tcMar>
              <w:left w:w="108" w:type="dxa"/>
              <w:right w:w="108" w:type="dxa"/>
            </w:tcMar>
          </w:tcPr>
          <w:p w:rsidR="00A92B10" w:rsidRDefault="00236222">
            <w:pPr>
              <w:spacing w:after="0" w:line="240" w:lineRule="auto"/>
            </w:pPr>
            <w:r>
              <w:rPr>
                <w:rFonts w:ascii="Arial" w:eastAsia="Arial" w:hAnsi="Arial" w:cs="Arial"/>
                <w:sz w:val="20"/>
              </w:rPr>
              <w:t>Institution name and link on the DuraSpace and Project web sites</w:t>
            </w:r>
          </w:p>
        </w:tc>
      </w:tr>
      <w:tr w:rsidR="00A92B10">
        <w:trPr>
          <w:trHeight w:val="600"/>
        </w:trPr>
        <w:tc>
          <w:tcPr>
            <w:tcW w:w="222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Bronze &amp; above</w:t>
            </w:r>
          </w:p>
        </w:tc>
        <w:tc>
          <w:tcPr>
            <w:tcW w:w="222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Governance</w:t>
            </w:r>
          </w:p>
        </w:tc>
        <w:tc>
          <w:tcPr>
            <w:tcW w:w="394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Eligible to vote on an at-large Member representative to the DuraSpace board</w:t>
            </w:r>
            <w:r w:rsidR="008D63DC">
              <w:rPr>
                <w:rFonts w:ascii="Arial" w:eastAsia="Arial" w:hAnsi="Arial" w:cs="Arial"/>
                <w:sz w:val="20"/>
              </w:rPr>
              <w:t xml:space="preserve"> of directors</w:t>
            </w:r>
          </w:p>
        </w:tc>
      </w:tr>
      <w:tr w:rsidR="00A92B10">
        <w:trPr>
          <w:trHeight w:val="600"/>
        </w:trPr>
        <w:tc>
          <w:tcPr>
            <w:tcW w:w="222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Bronze &amp; above</w:t>
            </w:r>
          </w:p>
        </w:tc>
        <w:tc>
          <w:tcPr>
            <w:tcW w:w="222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Governance</w:t>
            </w:r>
          </w:p>
        </w:tc>
        <w:tc>
          <w:tcPr>
            <w:tcW w:w="3940" w:type="dxa"/>
            <w:shd w:val="clear" w:color="auto" w:fill="FFFFFF"/>
            <w:tcMar>
              <w:left w:w="108" w:type="dxa"/>
              <w:right w:w="108" w:type="dxa"/>
            </w:tcMar>
          </w:tcPr>
          <w:p w:rsidR="00A92B10" w:rsidRDefault="00236222">
            <w:pPr>
              <w:spacing w:after="0" w:line="240" w:lineRule="auto"/>
            </w:pPr>
            <w:r>
              <w:rPr>
                <w:rFonts w:ascii="Arial" w:eastAsia="Arial" w:hAnsi="Arial" w:cs="Arial"/>
                <w:i/>
                <w:sz w:val="20"/>
              </w:rPr>
              <w:t>Recommendation:  Eligibility to sit on Working Groups</w:t>
            </w:r>
          </w:p>
        </w:tc>
      </w:tr>
      <w:tr w:rsidR="00A92B10">
        <w:trPr>
          <w:trHeight w:val="280"/>
        </w:trPr>
        <w:tc>
          <w:tcPr>
            <w:tcW w:w="2220" w:type="dxa"/>
            <w:shd w:val="clear" w:color="auto" w:fill="CFE2F3"/>
            <w:tcMar>
              <w:left w:w="108" w:type="dxa"/>
              <w:right w:w="108" w:type="dxa"/>
            </w:tcMar>
          </w:tcPr>
          <w:p w:rsidR="00A92B10" w:rsidRDefault="00236222">
            <w:pPr>
              <w:spacing w:after="0" w:line="240" w:lineRule="auto"/>
            </w:pPr>
            <w:r>
              <w:rPr>
                <w:rFonts w:ascii="Arial" w:eastAsia="Arial" w:hAnsi="Arial" w:cs="Arial"/>
                <w:sz w:val="20"/>
              </w:rPr>
              <w:t> </w:t>
            </w:r>
          </w:p>
        </w:tc>
        <w:tc>
          <w:tcPr>
            <w:tcW w:w="2220" w:type="dxa"/>
            <w:shd w:val="clear" w:color="auto" w:fill="CFE2F3"/>
            <w:tcMar>
              <w:left w:w="108" w:type="dxa"/>
              <w:right w:w="108" w:type="dxa"/>
            </w:tcMar>
          </w:tcPr>
          <w:p w:rsidR="00A92B10" w:rsidRDefault="00236222">
            <w:pPr>
              <w:spacing w:after="0" w:line="240" w:lineRule="auto"/>
            </w:pPr>
            <w:r>
              <w:rPr>
                <w:rFonts w:ascii="Arial" w:eastAsia="Arial" w:hAnsi="Arial" w:cs="Arial"/>
                <w:sz w:val="20"/>
              </w:rPr>
              <w:t> </w:t>
            </w:r>
          </w:p>
        </w:tc>
        <w:tc>
          <w:tcPr>
            <w:tcW w:w="3940" w:type="dxa"/>
            <w:shd w:val="clear" w:color="auto" w:fill="CFE2F3"/>
            <w:tcMar>
              <w:left w:w="108" w:type="dxa"/>
              <w:right w:w="108" w:type="dxa"/>
            </w:tcMar>
          </w:tcPr>
          <w:p w:rsidR="00A92B10" w:rsidRDefault="00236222">
            <w:pPr>
              <w:spacing w:after="0" w:line="240" w:lineRule="auto"/>
            </w:pPr>
            <w:r>
              <w:rPr>
                <w:rFonts w:ascii="Arial" w:eastAsia="Arial" w:hAnsi="Arial" w:cs="Arial"/>
                <w:sz w:val="20"/>
              </w:rPr>
              <w:t> </w:t>
            </w:r>
          </w:p>
        </w:tc>
      </w:tr>
      <w:tr w:rsidR="00A92B10">
        <w:trPr>
          <w:trHeight w:val="520"/>
        </w:trPr>
        <w:tc>
          <w:tcPr>
            <w:tcW w:w="222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 </w:t>
            </w:r>
          </w:p>
        </w:tc>
        <w:tc>
          <w:tcPr>
            <w:tcW w:w="222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 </w:t>
            </w:r>
          </w:p>
        </w:tc>
        <w:tc>
          <w:tcPr>
            <w:tcW w:w="3940" w:type="dxa"/>
            <w:shd w:val="clear" w:color="auto" w:fill="FFFFFF"/>
            <w:tcMar>
              <w:left w:w="108" w:type="dxa"/>
              <w:right w:w="108" w:type="dxa"/>
            </w:tcMar>
          </w:tcPr>
          <w:p w:rsidR="00A92B10" w:rsidRDefault="00236222">
            <w:pPr>
              <w:spacing w:after="0" w:line="240" w:lineRule="auto"/>
            </w:pPr>
            <w:r>
              <w:rPr>
                <w:rFonts w:ascii="Arial" w:eastAsia="Arial" w:hAnsi="Arial" w:cs="Arial"/>
                <w:i/>
                <w:sz w:val="20"/>
              </w:rPr>
              <w:t>All the above benefits, plus:</w:t>
            </w:r>
          </w:p>
        </w:tc>
      </w:tr>
      <w:tr w:rsidR="00A92B10">
        <w:trPr>
          <w:trHeight w:val="740"/>
        </w:trPr>
        <w:tc>
          <w:tcPr>
            <w:tcW w:w="2220" w:type="dxa"/>
            <w:tcMar>
              <w:left w:w="108" w:type="dxa"/>
              <w:right w:w="108" w:type="dxa"/>
            </w:tcMar>
          </w:tcPr>
          <w:p w:rsidR="00A92B10" w:rsidRDefault="00236222">
            <w:pPr>
              <w:spacing w:after="0" w:line="240" w:lineRule="auto"/>
            </w:pPr>
            <w:r>
              <w:rPr>
                <w:rFonts w:ascii="Arial" w:eastAsia="Arial" w:hAnsi="Arial" w:cs="Arial"/>
                <w:sz w:val="20"/>
              </w:rPr>
              <w:t>Silver &amp; above</w:t>
            </w:r>
          </w:p>
        </w:tc>
        <w:tc>
          <w:tcPr>
            <w:tcW w:w="2220" w:type="dxa"/>
            <w:tcMar>
              <w:left w:w="108" w:type="dxa"/>
              <w:right w:w="108" w:type="dxa"/>
            </w:tcMar>
          </w:tcPr>
          <w:p w:rsidR="00A92B10" w:rsidRDefault="00236222">
            <w:pPr>
              <w:spacing w:after="0" w:line="240" w:lineRule="auto"/>
            </w:pPr>
            <w:r>
              <w:rPr>
                <w:rFonts w:ascii="Arial" w:eastAsia="Arial" w:hAnsi="Arial" w:cs="Arial"/>
                <w:sz w:val="20"/>
              </w:rPr>
              <w:t>General</w:t>
            </w:r>
          </w:p>
        </w:tc>
        <w:tc>
          <w:tcPr>
            <w:tcW w:w="3940" w:type="dxa"/>
            <w:tcMar>
              <w:left w:w="108" w:type="dxa"/>
              <w:right w:w="108" w:type="dxa"/>
            </w:tcMar>
          </w:tcPr>
          <w:p w:rsidR="00A92B10" w:rsidRDefault="00236222">
            <w:pPr>
              <w:spacing w:after="0" w:line="240" w:lineRule="auto"/>
            </w:pPr>
            <w:r>
              <w:rPr>
                <w:rFonts w:ascii="Arial" w:eastAsia="Arial" w:hAnsi="Arial" w:cs="Arial"/>
                <w:sz w:val="20"/>
              </w:rPr>
              <w:t xml:space="preserve">Institution name, </w:t>
            </w:r>
            <w:r w:rsidRPr="008D63DC">
              <w:rPr>
                <w:rFonts w:ascii="Arial" w:eastAsia="Arial" w:hAnsi="Arial" w:cs="Arial"/>
                <w:i/>
                <w:sz w:val="20"/>
              </w:rPr>
              <w:t>logo</w:t>
            </w:r>
            <w:r>
              <w:rPr>
                <w:rFonts w:ascii="Arial" w:eastAsia="Arial" w:hAnsi="Arial" w:cs="Arial"/>
                <w:sz w:val="20"/>
              </w:rPr>
              <w:t xml:space="preserve"> </w:t>
            </w:r>
            <w:r w:rsidRPr="008D63DC">
              <w:rPr>
                <w:rFonts w:ascii="Arial" w:eastAsia="Arial" w:hAnsi="Arial" w:cs="Arial"/>
                <w:sz w:val="20"/>
              </w:rPr>
              <w:t>and link</w:t>
            </w:r>
            <w:r>
              <w:rPr>
                <w:rFonts w:ascii="Arial" w:eastAsia="Arial" w:hAnsi="Arial" w:cs="Arial"/>
                <w:sz w:val="20"/>
              </w:rPr>
              <w:t xml:space="preserve"> on the DuraSpace and Project web sites</w:t>
            </w:r>
          </w:p>
        </w:tc>
      </w:tr>
      <w:tr w:rsidR="00A92B10">
        <w:trPr>
          <w:trHeight w:val="780"/>
        </w:trPr>
        <w:tc>
          <w:tcPr>
            <w:tcW w:w="222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Silver &amp; above (</w:t>
            </w:r>
            <w:r>
              <w:rPr>
                <w:rFonts w:ascii="Arial" w:eastAsia="Arial" w:hAnsi="Arial" w:cs="Arial"/>
                <w:i/>
                <w:sz w:val="20"/>
              </w:rPr>
              <w:t>for 1st year of sponsorship)</w:t>
            </w:r>
          </w:p>
        </w:tc>
        <w:tc>
          <w:tcPr>
            <w:tcW w:w="222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Discounts/Special Feature Access</w:t>
            </w:r>
          </w:p>
        </w:tc>
        <w:tc>
          <w:tcPr>
            <w:tcW w:w="394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 xml:space="preserve">10% discount to new members on first year of either </w:t>
            </w:r>
            <w:proofErr w:type="spellStart"/>
            <w:r>
              <w:rPr>
                <w:rFonts w:ascii="Arial" w:eastAsia="Arial" w:hAnsi="Arial" w:cs="Arial"/>
                <w:sz w:val="20"/>
              </w:rPr>
              <w:t>DSpaceDirect</w:t>
            </w:r>
            <w:proofErr w:type="spellEnd"/>
            <w:r>
              <w:rPr>
                <w:rFonts w:ascii="Arial" w:eastAsia="Arial" w:hAnsi="Arial" w:cs="Arial"/>
                <w:sz w:val="20"/>
              </w:rPr>
              <w:t xml:space="preserve"> or DuraCloud</w:t>
            </w:r>
          </w:p>
        </w:tc>
        <w:bookmarkStart w:id="0" w:name="_GoBack"/>
        <w:bookmarkEnd w:id="0"/>
      </w:tr>
      <w:tr w:rsidR="00A92B10" w:rsidTr="00735619">
        <w:trPr>
          <w:trHeight w:val="575"/>
        </w:trPr>
        <w:tc>
          <w:tcPr>
            <w:tcW w:w="222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Silver &amp; above</w:t>
            </w:r>
          </w:p>
        </w:tc>
        <w:tc>
          <w:tcPr>
            <w:tcW w:w="222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Discounts/</w:t>
            </w:r>
          </w:p>
        </w:tc>
        <w:tc>
          <w:tcPr>
            <w:tcW w:w="394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Discounted registration at project training events</w:t>
            </w:r>
          </w:p>
        </w:tc>
      </w:tr>
      <w:tr w:rsidR="00A92B10">
        <w:trPr>
          <w:trHeight w:val="280"/>
        </w:trPr>
        <w:tc>
          <w:tcPr>
            <w:tcW w:w="2220" w:type="dxa"/>
            <w:shd w:val="clear" w:color="auto" w:fill="CFE2F3"/>
            <w:tcMar>
              <w:left w:w="108" w:type="dxa"/>
              <w:right w:w="108" w:type="dxa"/>
            </w:tcMar>
          </w:tcPr>
          <w:p w:rsidR="00A92B10" w:rsidRDefault="00236222">
            <w:pPr>
              <w:spacing w:after="0" w:line="240" w:lineRule="auto"/>
            </w:pPr>
            <w:r>
              <w:rPr>
                <w:rFonts w:ascii="Arial" w:eastAsia="Arial" w:hAnsi="Arial" w:cs="Arial"/>
                <w:sz w:val="20"/>
              </w:rPr>
              <w:t> </w:t>
            </w:r>
          </w:p>
        </w:tc>
        <w:tc>
          <w:tcPr>
            <w:tcW w:w="2220" w:type="dxa"/>
            <w:shd w:val="clear" w:color="auto" w:fill="CFE2F3"/>
            <w:tcMar>
              <w:left w:w="108" w:type="dxa"/>
              <w:right w:w="108" w:type="dxa"/>
            </w:tcMar>
          </w:tcPr>
          <w:p w:rsidR="00A92B10" w:rsidRDefault="00236222">
            <w:pPr>
              <w:spacing w:after="0" w:line="240" w:lineRule="auto"/>
            </w:pPr>
            <w:r>
              <w:rPr>
                <w:rFonts w:ascii="Arial" w:eastAsia="Arial" w:hAnsi="Arial" w:cs="Arial"/>
                <w:sz w:val="20"/>
              </w:rPr>
              <w:t> </w:t>
            </w:r>
          </w:p>
        </w:tc>
        <w:tc>
          <w:tcPr>
            <w:tcW w:w="3940" w:type="dxa"/>
            <w:shd w:val="clear" w:color="auto" w:fill="CFE2F3"/>
            <w:tcMar>
              <w:left w:w="108" w:type="dxa"/>
              <w:right w:w="108" w:type="dxa"/>
            </w:tcMar>
          </w:tcPr>
          <w:p w:rsidR="00A92B10" w:rsidRDefault="00236222">
            <w:pPr>
              <w:spacing w:after="0" w:line="240" w:lineRule="auto"/>
            </w:pPr>
            <w:r>
              <w:rPr>
                <w:rFonts w:ascii="Arial" w:eastAsia="Arial" w:hAnsi="Arial" w:cs="Arial"/>
                <w:sz w:val="20"/>
              </w:rPr>
              <w:t> </w:t>
            </w:r>
          </w:p>
        </w:tc>
      </w:tr>
      <w:tr w:rsidR="00A92B10">
        <w:trPr>
          <w:trHeight w:val="560"/>
        </w:trPr>
        <w:tc>
          <w:tcPr>
            <w:tcW w:w="222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 </w:t>
            </w:r>
          </w:p>
        </w:tc>
        <w:tc>
          <w:tcPr>
            <w:tcW w:w="222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 </w:t>
            </w:r>
          </w:p>
        </w:tc>
        <w:tc>
          <w:tcPr>
            <w:tcW w:w="3940" w:type="dxa"/>
            <w:shd w:val="clear" w:color="auto" w:fill="FFFFFF"/>
            <w:tcMar>
              <w:left w:w="108" w:type="dxa"/>
              <w:right w:w="108" w:type="dxa"/>
            </w:tcMar>
          </w:tcPr>
          <w:p w:rsidR="00A92B10" w:rsidRDefault="00236222">
            <w:pPr>
              <w:spacing w:after="0" w:line="240" w:lineRule="auto"/>
            </w:pPr>
            <w:r>
              <w:rPr>
                <w:rFonts w:ascii="Arial" w:eastAsia="Arial" w:hAnsi="Arial" w:cs="Arial"/>
                <w:i/>
                <w:sz w:val="20"/>
              </w:rPr>
              <w:t>All the above benefits, plus:</w:t>
            </w:r>
          </w:p>
        </w:tc>
      </w:tr>
      <w:tr w:rsidR="00A92B10">
        <w:trPr>
          <w:trHeight w:val="880"/>
        </w:trPr>
        <w:tc>
          <w:tcPr>
            <w:tcW w:w="2220" w:type="dxa"/>
            <w:tcMar>
              <w:left w:w="108" w:type="dxa"/>
              <w:right w:w="108" w:type="dxa"/>
            </w:tcMar>
          </w:tcPr>
          <w:p w:rsidR="00A92B10" w:rsidRDefault="00236222">
            <w:pPr>
              <w:spacing w:after="0" w:line="240" w:lineRule="auto"/>
            </w:pPr>
            <w:r>
              <w:rPr>
                <w:rFonts w:ascii="Arial" w:eastAsia="Arial" w:hAnsi="Arial" w:cs="Arial"/>
                <w:sz w:val="20"/>
              </w:rPr>
              <w:t>Gold &amp; above</w:t>
            </w:r>
          </w:p>
        </w:tc>
        <w:tc>
          <w:tcPr>
            <w:tcW w:w="2220" w:type="dxa"/>
            <w:tcMar>
              <w:left w:w="108" w:type="dxa"/>
              <w:right w:w="108" w:type="dxa"/>
            </w:tcMar>
          </w:tcPr>
          <w:p w:rsidR="00A92B10" w:rsidRDefault="00236222">
            <w:pPr>
              <w:spacing w:after="0" w:line="240" w:lineRule="auto"/>
            </w:pPr>
            <w:r>
              <w:rPr>
                <w:rFonts w:ascii="Arial" w:eastAsia="Arial" w:hAnsi="Arial" w:cs="Arial"/>
                <w:sz w:val="20"/>
              </w:rPr>
              <w:t>Events</w:t>
            </w:r>
          </w:p>
        </w:tc>
        <w:tc>
          <w:tcPr>
            <w:tcW w:w="3940" w:type="dxa"/>
            <w:tcMar>
              <w:left w:w="108" w:type="dxa"/>
              <w:right w:w="108" w:type="dxa"/>
            </w:tcMar>
          </w:tcPr>
          <w:p w:rsidR="00A92B10" w:rsidRDefault="00236222">
            <w:pPr>
              <w:spacing w:after="0" w:line="240" w:lineRule="auto"/>
            </w:pPr>
            <w:r>
              <w:rPr>
                <w:rFonts w:ascii="Arial" w:eastAsia="Arial" w:hAnsi="Arial" w:cs="Arial"/>
                <w:sz w:val="20"/>
              </w:rPr>
              <w:t>Preferred access (advance registration) to DuraSpace professional development opportunities</w:t>
            </w:r>
          </w:p>
        </w:tc>
      </w:tr>
      <w:tr w:rsidR="00A92B10">
        <w:trPr>
          <w:trHeight w:val="460"/>
        </w:trPr>
        <w:tc>
          <w:tcPr>
            <w:tcW w:w="222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Gold &amp; above</w:t>
            </w:r>
          </w:p>
        </w:tc>
        <w:tc>
          <w:tcPr>
            <w:tcW w:w="222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Events</w:t>
            </w:r>
          </w:p>
        </w:tc>
        <w:tc>
          <w:tcPr>
            <w:tcW w:w="3940" w:type="dxa"/>
            <w:tcMar>
              <w:left w:w="108" w:type="dxa"/>
              <w:right w:w="108" w:type="dxa"/>
            </w:tcMar>
          </w:tcPr>
          <w:p w:rsidR="00A92B10" w:rsidRDefault="00236222">
            <w:pPr>
              <w:spacing w:after="0" w:line="240" w:lineRule="auto"/>
            </w:pPr>
            <w:r>
              <w:rPr>
                <w:rFonts w:ascii="Arial" w:eastAsia="Arial" w:hAnsi="Arial" w:cs="Arial"/>
                <w:sz w:val="20"/>
              </w:rPr>
              <w:t xml:space="preserve">Annual membership summit / strategic forum on projects with DuraSpace; </w:t>
            </w:r>
            <w:r>
              <w:rPr>
                <w:rFonts w:ascii="Arial" w:eastAsia="Arial" w:hAnsi="Arial" w:cs="Arial"/>
                <w:sz w:val="20"/>
              </w:rPr>
              <w:lastRenderedPageBreak/>
              <w:t>presentations and networking with leaders from prominent institutions an</w:t>
            </w:r>
            <w:r>
              <w:rPr>
                <w:rFonts w:ascii="Arial" w:eastAsia="Arial" w:hAnsi="Arial" w:cs="Arial"/>
                <w:sz w:val="20"/>
              </w:rPr>
              <w:t xml:space="preserve">d projects </w:t>
            </w:r>
          </w:p>
        </w:tc>
      </w:tr>
      <w:tr w:rsidR="00A92B10">
        <w:trPr>
          <w:trHeight w:val="820"/>
        </w:trPr>
        <w:tc>
          <w:tcPr>
            <w:tcW w:w="222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lastRenderedPageBreak/>
              <w:t>Gold &amp; above</w:t>
            </w:r>
          </w:p>
        </w:tc>
        <w:tc>
          <w:tcPr>
            <w:tcW w:w="222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Governance</w:t>
            </w:r>
          </w:p>
        </w:tc>
        <w:tc>
          <w:tcPr>
            <w:tcW w:w="394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Eligible to play a role in project governance, as defined by each project’s governance policy</w:t>
            </w:r>
          </w:p>
        </w:tc>
      </w:tr>
      <w:tr w:rsidR="00A92B10">
        <w:trPr>
          <w:trHeight w:val="320"/>
        </w:trPr>
        <w:tc>
          <w:tcPr>
            <w:tcW w:w="2220" w:type="dxa"/>
            <w:shd w:val="clear" w:color="auto" w:fill="CFE2F3"/>
            <w:tcMar>
              <w:left w:w="108" w:type="dxa"/>
              <w:right w:w="108" w:type="dxa"/>
            </w:tcMar>
          </w:tcPr>
          <w:p w:rsidR="00A92B10" w:rsidRDefault="00236222">
            <w:pPr>
              <w:spacing w:after="0" w:line="240" w:lineRule="auto"/>
            </w:pPr>
            <w:r>
              <w:rPr>
                <w:rFonts w:ascii="Arial" w:eastAsia="Arial" w:hAnsi="Arial" w:cs="Arial"/>
                <w:sz w:val="20"/>
              </w:rPr>
              <w:t> </w:t>
            </w:r>
          </w:p>
        </w:tc>
        <w:tc>
          <w:tcPr>
            <w:tcW w:w="2220" w:type="dxa"/>
            <w:shd w:val="clear" w:color="auto" w:fill="CFE2F3"/>
            <w:tcMar>
              <w:left w:w="108" w:type="dxa"/>
              <w:right w:w="108" w:type="dxa"/>
            </w:tcMar>
          </w:tcPr>
          <w:p w:rsidR="00A92B10" w:rsidRDefault="00236222">
            <w:pPr>
              <w:spacing w:after="0" w:line="240" w:lineRule="auto"/>
            </w:pPr>
            <w:r>
              <w:rPr>
                <w:rFonts w:ascii="Arial" w:eastAsia="Arial" w:hAnsi="Arial" w:cs="Arial"/>
                <w:sz w:val="20"/>
              </w:rPr>
              <w:t> </w:t>
            </w:r>
          </w:p>
        </w:tc>
        <w:tc>
          <w:tcPr>
            <w:tcW w:w="3940" w:type="dxa"/>
            <w:shd w:val="clear" w:color="auto" w:fill="CFE2F3"/>
            <w:tcMar>
              <w:left w:w="108" w:type="dxa"/>
              <w:right w:w="108" w:type="dxa"/>
            </w:tcMar>
          </w:tcPr>
          <w:p w:rsidR="00A92B10" w:rsidRDefault="00236222">
            <w:pPr>
              <w:spacing w:after="0" w:line="240" w:lineRule="auto"/>
            </w:pPr>
            <w:r>
              <w:rPr>
                <w:rFonts w:ascii="Arial" w:eastAsia="Arial" w:hAnsi="Arial" w:cs="Arial"/>
                <w:sz w:val="20"/>
              </w:rPr>
              <w:t> </w:t>
            </w:r>
          </w:p>
        </w:tc>
      </w:tr>
      <w:tr w:rsidR="00A92B10">
        <w:trPr>
          <w:trHeight w:val="320"/>
        </w:trPr>
        <w:tc>
          <w:tcPr>
            <w:tcW w:w="222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 </w:t>
            </w:r>
          </w:p>
        </w:tc>
        <w:tc>
          <w:tcPr>
            <w:tcW w:w="222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 </w:t>
            </w:r>
          </w:p>
        </w:tc>
        <w:tc>
          <w:tcPr>
            <w:tcW w:w="3940" w:type="dxa"/>
            <w:shd w:val="clear" w:color="auto" w:fill="FFFFFF"/>
            <w:tcMar>
              <w:left w:w="108" w:type="dxa"/>
              <w:right w:w="108" w:type="dxa"/>
            </w:tcMar>
          </w:tcPr>
          <w:p w:rsidR="00A92B10" w:rsidRDefault="00236222">
            <w:pPr>
              <w:spacing w:after="0" w:line="240" w:lineRule="auto"/>
            </w:pPr>
            <w:r>
              <w:rPr>
                <w:rFonts w:ascii="Arial" w:eastAsia="Arial" w:hAnsi="Arial" w:cs="Arial"/>
                <w:i/>
                <w:sz w:val="20"/>
              </w:rPr>
              <w:t>All the above benefits, plus:</w:t>
            </w:r>
          </w:p>
        </w:tc>
      </w:tr>
      <w:tr w:rsidR="00A92B10">
        <w:trPr>
          <w:trHeight w:val="580"/>
        </w:trPr>
        <w:tc>
          <w:tcPr>
            <w:tcW w:w="222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Platinum</w:t>
            </w:r>
          </w:p>
        </w:tc>
        <w:tc>
          <w:tcPr>
            <w:tcW w:w="222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Governance</w:t>
            </w:r>
          </w:p>
        </w:tc>
        <w:tc>
          <w:tcPr>
            <w:tcW w:w="3940" w:type="dxa"/>
            <w:shd w:val="clear" w:color="auto" w:fill="FFFFFF"/>
            <w:tcMar>
              <w:left w:w="108" w:type="dxa"/>
              <w:right w:w="108" w:type="dxa"/>
            </w:tcMar>
          </w:tcPr>
          <w:p w:rsidR="00A92B10" w:rsidRDefault="00236222">
            <w:pPr>
              <w:spacing w:after="0" w:line="240" w:lineRule="auto"/>
            </w:pPr>
            <w:r>
              <w:rPr>
                <w:rFonts w:ascii="Arial" w:eastAsia="Arial" w:hAnsi="Arial" w:cs="Arial"/>
                <w:sz w:val="20"/>
              </w:rPr>
              <w:t>Eligible for one seat on Project Leadership Group</w:t>
            </w:r>
          </w:p>
        </w:tc>
      </w:tr>
      <w:tr w:rsidR="00A92B10">
        <w:trPr>
          <w:trHeight w:val="300"/>
        </w:trPr>
        <w:tc>
          <w:tcPr>
            <w:tcW w:w="2220" w:type="dxa"/>
            <w:shd w:val="clear" w:color="auto" w:fill="CFE2F3"/>
            <w:tcMar>
              <w:left w:w="108" w:type="dxa"/>
              <w:right w:w="108" w:type="dxa"/>
            </w:tcMar>
          </w:tcPr>
          <w:p w:rsidR="00A92B10" w:rsidRDefault="00236222">
            <w:pPr>
              <w:spacing w:after="0" w:line="240" w:lineRule="auto"/>
            </w:pPr>
            <w:r>
              <w:rPr>
                <w:rFonts w:ascii="Arial" w:eastAsia="Arial" w:hAnsi="Arial" w:cs="Arial"/>
                <w:sz w:val="20"/>
              </w:rPr>
              <w:t> </w:t>
            </w:r>
          </w:p>
        </w:tc>
        <w:tc>
          <w:tcPr>
            <w:tcW w:w="2220" w:type="dxa"/>
            <w:shd w:val="clear" w:color="auto" w:fill="CFE2F3"/>
            <w:tcMar>
              <w:left w:w="108" w:type="dxa"/>
              <w:right w:w="108" w:type="dxa"/>
            </w:tcMar>
          </w:tcPr>
          <w:p w:rsidR="00A92B10" w:rsidRDefault="00236222">
            <w:pPr>
              <w:spacing w:after="0" w:line="240" w:lineRule="auto"/>
            </w:pPr>
            <w:r>
              <w:rPr>
                <w:rFonts w:ascii="Arial" w:eastAsia="Arial" w:hAnsi="Arial" w:cs="Arial"/>
                <w:sz w:val="20"/>
              </w:rPr>
              <w:t> </w:t>
            </w:r>
          </w:p>
        </w:tc>
        <w:tc>
          <w:tcPr>
            <w:tcW w:w="3940" w:type="dxa"/>
            <w:shd w:val="clear" w:color="auto" w:fill="CFE2F3"/>
            <w:tcMar>
              <w:left w:w="108" w:type="dxa"/>
              <w:right w:w="108" w:type="dxa"/>
            </w:tcMar>
          </w:tcPr>
          <w:p w:rsidR="00A92B10" w:rsidRDefault="00236222">
            <w:pPr>
              <w:spacing w:after="0" w:line="240" w:lineRule="auto"/>
            </w:pPr>
            <w:r>
              <w:rPr>
                <w:rFonts w:ascii="Arial" w:eastAsia="Arial" w:hAnsi="Arial" w:cs="Arial"/>
                <w:sz w:val="20"/>
              </w:rPr>
              <w:t> </w:t>
            </w:r>
          </w:p>
        </w:tc>
      </w:tr>
    </w:tbl>
    <w:p w:rsidR="00A92B10" w:rsidRDefault="00A92B10"/>
    <w:p w:rsidR="00A92B10" w:rsidRDefault="00236222">
      <w:r>
        <w:t>Other Exclusive Benefits or Membership:</w:t>
      </w:r>
    </w:p>
    <w:p w:rsidR="00A92B10" w:rsidRDefault="00236222">
      <w:pPr>
        <w:numPr>
          <w:ilvl w:val="0"/>
          <w:numId w:val="1"/>
        </w:numPr>
        <w:spacing w:after="0" w:line="240" w:lineRule="auto"/>
        <w:ind w:hanging="359"/>
      </w:pPr>
      <w:r>
        <w:t>Eligibility to participate in pilot projects and early adopter support</w:t>
      </w:r>
    </w:p>
    <w:p w:rsidR="00A92B10" w:rsidRDefault="00A92B10"/>
    <w:p w:rsidR="00A92B10" w:rsidRDefault="00236222">
      <w:r>
        <w:t>Non-Exclusive Benefits supported by DuraSpace members:</w:t>
      </w:r>
    </w:p>
    <w:p w:rsidR="00A92B10" w:rsidRDefault="00236222">
      <w:pPr>
        <w:numPr>
          <w:ilvl w:val="0"/>
          <w:numId w:val="2"/>
        </w:numPr>
        <w:spacing w:after="0" w:line="240" w:lineRule="auto"/>
        <w:ind w:hanging="359"/>
      </w:pPr>
      <w:r>
        <w:t>New releases</w:t>
      </w:r>
    </w:p>
    <w:p w:rsidR="00A92B10" w:rsidRDefault="00236222">
      <w:pPr>
        <w:numPr>
          <w:ilvl w:val="0"/>
          <w:numId w:val="2"/>
        </w:numPr>
        <w:spacing w:after="0" w:line="240" w:lineRule="auto"/>
        <w:ind w:hanging="359"/>
      </w:pPr>
      <w:r>
        <w:t>Documentation</w:t>
      </w:r>
    </w:p>
    <w:p w:rsidR="00A92B10" w:rsidRDefault="00236222">
      <w:pPr>
        <w:numPr>
          <w:ilvl w:val="0"/>
          <w:numId w:val="2"/>
        </w:numPr>
        <w:spacing w:after="0" w:line="240" w:lineRule="auto"/>
        <w:ind w:hanging="359"/>
      </w:pPr>
      <w:r>
        <w:t>Continuous integration</w:t>
      </w:r>
    </w:p>
    <w:p w:rsidR="00A92B10" w:rsidRDefault="00236222">
      <w:pPr>
        <w:numPr>
          <w:ilvl w:val="0"/>
          <w:numId w:val="2"/>
        </w:numPr>
        <w:spacing w:after="0" w:line="240" w:lineRule="auto"/>
        <w:ind w:hanging="359"/>
      </w:pPr>
      <w:r>
        <w:t>Security patches</w:t>
      </w:r>
    </w:p>
    <w:p w:rsidR="00A92B10" w:rsidRDefault="00A92B10">
      <w:pPr>
        <w:spacing w:after="0" w:line="240" w:lineRule="auto"/>
      </w:pPr>
    </w:p>
    <w:p w:rsidR="00A92B10" w:rsidRDefault="00A92B10">
      <w:pPr>
        <w:spacing w:after="0" w:line="240" w:lineRule="auto"/>
      </w:pPr>
    </w:p>
    <w:p w:rsidR="00A92B10" w:rsidRDefault="00236222">
      <w:r>
        <w:br w:type="page"/>
      </w:r>
    </w:p>
    <w:p w:rsidR="00A92B10" w:rsidRDefault="00236222">
      <w:r>
        <w:rPr>
          <w:b/>
        </w:rPr>
        <w:lastRenderedPageBreak/>
        <w:t>Attachment B</w:t>
      </w:r>
    </w:p>
    <w:p w:rsidR="00A92B10" w:rsidRDefault="00236222">
      <w:r>
        <w:rPr>
          <w:b/>
        </w:rPr>
        <w:t>Project Governance Template</w:t>
      </w:r>
    </w:p>
    <w:p w:rsidR="00A92B10" w:rsidRDefault="00A92B10"/>
    <w:p w:rsidR="00A92B10" w:rsidRDefault="00A92B10"/>
    <w:p w:rsidR="00A92B10" w:rsidRDefault="00236222">
      <w:r>
        <w:rPr>
          <w:noProof/>
        </w:rPr>
        <w:drawing>
          <wp:inline distT="0" distB="0" distL="114300" distR="114300">
            <wp:extent cx="5939790" cy="444944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5939790" cy="4449445"/>
                    </a:xfrm>
                    <a:prstGeom prst="rect">
                      <a:avLst/>
                    </a:prstGeom>
                    <a:ln/>
                  </pic:spPr>
                </pic:pic>
              </a:graphicData>
            </a:graphic>
          </wp:inline>
        </w:drawing>
      </w:r>
    </w:p>
    <w:sectPr w:rsidR="00A92B10">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22" w:rsidRDefault="00236222">
      <w:pPr>
        <w:spacing w:after="0" w:line="240" w:lineRule="auto"/>
      </w:pPr>
      <w:r>
        <w:separator/>
      </w:r>
    </w:p>
  </w:endnote>
  <w:endnote w:type="continuationSeparator" w:id="0">
    <w:p w:rsidR="00236222" w:rsidRDefault="0023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10" w:rsidRDefault="00A92B10">
    <w:pPr>
      <w:tabs>
        <w:tab w:val="center" w:pos="4680"/>
        <w:tab w:val="right" w:pos="9360"/>
      </w:tabs>
      <w:jc w:val="center"/>
    </w:pPr>
  </w:p>
  <w:p w:rsidR="00A92B10" w:rsidRDefault="00236222">
    <w:pPr>
      <w:tabs>
        <w:tab w:val="center" w:pos="4680"/>
        <w:tab w:val="right" w:pos="9360"/>
      </w:tabs>
      <w:jc w:val="center"/>
    </w:pPr>
    <w:r>
      <w:fldChar w:fldCharType="begin"/>
    </w:r>
    <w:r>
      <w:instrText>PAGE</w:instrText>
    </w:r>
    <w:r>
      <w:fldChar w:fldCharType="separate"/>
    </w:r>
    <w:r w:rsidR="00735619">
      <w:rPr>
        <w:noProof/>
      </w:rPr>
      <w:t>1</w:t>
    </w:r>
    <w:r>
      <w:fldChar w:fldCharType="end"/>
    </w:r>
  </w:p>
  <w:p w:rsidR="00A92B10" w:rsidRDefault="00A92B10">
    <w:pPr>
      <w:tabs>
        <w:tab w:val="center" w:pos="4680"/>
        <w:tab w:val="right"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22" w:rsidRDefault="00236222">
      <w:pPr>
        <w:spacing w:after="0" w:line="240" w:lineRule="auto"/>
      </w:pPr>
      <w:r>
        <w:separator/>
      </w:r>
    </w:p>
  </w:footnote>
  <w:footnote w:type="continuationSeparator" w:id="0">
    <w:p w:rsidR="00236222" w:rsidRDefault="00236222">
      <w:pPr>
        <w:spacing w:after="0" w:line="240" w:lineRule="auto"/>
      </w:pPr>
      <w:r>
        <w:continuationSeparator/>
      </w:r>
    </w:p>
  </w:footnote>
  <w:footnote w:id="1">
    <w:p w:rsidR="00A92B10" w:rsidRDefault="00236222">
      <w:r>
        <w:rPr>
          <w:vertAlign w:val="superscript"/>
        </w:rPr>
        <w:footnoteRef/>
      </w:r>
      <w:r>
        <w:rPr>
          <w:sz w:val="20"/>
        </w:rPr>
        <w:t xml:space="preserve"> Institutions that enter basic information about their implementation in the online project registry will receive security bulletins in advance of the public lists.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10" w:rsidRDefault="00236222">
    <w:pPr>
      <w:tabs>
        <w:tab w:val="center" w:pos="4680"/>
        <w:tab w:val="right" w:pos="9360"/>
      </w:tabs>
      <w:jc w:val="center"/>
    </w:pPr>
    <w:r>
      <w:rPr>
        <w:noProof/>
      </w:rPr>
      <w:drawing>
        <wp:inline distT="0" distB="0" distL="114300" distR="114300">
          <wp:extent cx="3037205" cy="500380"/>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3037205" cy="50038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E2B"/>
    <w:multiLevelType w:val="multilevel"/>
    <w:tmpl w:val="6E7E39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2410427"/>
    <w:multiLevelType w:val="multilevel"/>
    <w:tmpl w:val="D2104B70"/>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2">
    <w:nsid w:val="1B096DBB"/>
    <w:multiLevelType w:val="multilevel"/>
    <w:tmpl w:val="C7B28202"/>
    <w:lvl w:ilvl="0">
      <w:start w:val="1"/>
      <w:numFmt w:val="decimal"/>
      <w:lvlText w:val="%1."/>
      <w:lvlJc w:val="left"/>
      <w:pPr>
        <w:ind w:left="1080" w:firstLine="720"/>
      </w:pPr>
      <w:rPr>
        <w:rFonts w:ascii="Arial" w:eastAsia="Arial" w:hAnsi="Arial" w:cs="Arial"/>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abstractNum w:abstractNumId="3">
    <w:nsid w:val="3F323003"/>
    <w:multiLevelType w:val="multilevel"/>
    <w:tmpl w:val="54AA8E20"/>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4">
    <w:nsid w:val="5A083EB6"/>
    <w:multiLevelType w:val="multilevel"/>
    <w:tmpl w:val="34C847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2B10"/>
    <w:rsid w:val="00236222"/>
    <w:rsid w:val="00735619"/>
    <w:rsid w:val="008D63DC"/>
    <w:rsid w:val="00A9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D6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D6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1043</Words>
  <Characters>5951</Characters>
  <Application>Microsoft Office Word</Application>
  <DocSecurity>0</DocSecurity>
  <Lines>49</Lines>
  <Paragraphs>13</Paragraphs>
  <ScaleCrop>false</ScaleCrop>
  <Company>Microsoft</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Membership and Governance 4-10-2014.docx</dc:title>
  <cp:lastModifiedBy>Max Markow</cp:lastModifiedBy>
  <cp:revision>3</cp:revision>
  <dcterms:created xsi:type="dcterms:W3CDTF">2014-04-21T14:42:00Z</dcterms:created>
  <dcterms:modified xsi:type="dcterms:W3CDTF">2014-04-21T14:46:00Z</dcterms:modified>
</cp:coreProperties>
</file>