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52" w:rsidRDefault="00FD1352" w:rsidP="00FD1352">
      <w:pPr>
        <w:jc w:val="right"/>
        <w:rPr>
          <w:b/>
        </w:rPr>
      </w:pPr>
      <w:r>
        <w:rPr>
          <w:b/>
        </w:rPr>
        <w:t>3 December 2016</w:t>
      </w:r>
    </w:p>
    <w:p w:rsidR="00DE189E" w:rsidRDefault="00DE189E" w:rsidP="00DE189E">
      <w:pPr>
        <w:jc w:val="center"/>
        <w:rPr>
          <w:b/>
        </w:rPr>
      </w:pPr>
      <w:r>
        <w:rPr>
          <w:b/>
        </w:rPr>
        <w:t>BIBFRAME 2.0 PERFORMED MUSIC EXTENSION</w:t>
      </w:r>
    </w:p>
    <w:p w:rsidR="00DE189E" w:rsidRDefault="00DE189E" w:rsidP="00DE189E">
      <w:pPr>
        <w:jc w:val="center"/>
        <w:rPr>
          <w:b/>
        </w:rPr>
      </w:pPr>
      <w:r>
        <w:rPr>
          <w:b/>
        </w:rPr>
        <w:t>SPECIFICATION</w:t>
      </w:r>
    </w:p>
    <w:p w:rsidR="00DE189E" w:rsidRDefault="0067391A" w:rsidP="00DE189E">
      <w:pPr>
        <w:jc w:val="center"/>
        <w:rPr>
          <w:b/>
          <w:sz w:val="28"/>
          <w:szCs w:val="28"/>
        </w:rPr>
      </w:pPr>
      <w:r>
        <w:rPr>
          <w:b/>
          <w:sz w:val="28"/>
          <w:szCs w:val="28"/>
        </w:rPr>
        <w:t>Identifiers</w:t>
      </w:r>
    </w:p>
    <w:p w:rsidR="00C46476" w:rsidRDefault="00C46476"/>
    <w:p w:rsidR="00DE189E" w:rsidRDefault="00DE189E" w:rsidP="00DE189E">
      <w:pPr>
        <w:rPr>
          <w:b/>
          <w:sz w:val="28"/>
          <w:szCs w:val="28"/>
        </w:rPr>
      </w:pPr>
      <w:r>
        <w:rPr>
          <w:b/>
          <w:sz w:val="28"/>
          <w:szCs w:val="28"/>
        </w:rPr>
        <w:t>In BIBFRAME 2.0</w:t>
      </w:r>
    </w:p>
    <w:p w:rsidR="00DE189E" w:rsidRDefault="00DE189E" w:rsidP="00DE189E">
      <w:pPr>
        <w:rPr>
          <w:b/>
          <w:sz w:val="24"/>
          <w:szCs w:val="24"/>
        </w:rPr>
      </w:pPr>
      <w:r>
        <w:rPr>
          <w:b/>
          <w:sz w:val="24"/>
          <w:szCs w:val="24"/>
        </w:rPr>
        <w:t xml:space="preserve">Summary of </w:t>
      </w:r>
      <w:r w:rsidR="0067391A">
        <w:rPr>
          <w:b/>
          <w:sz w:val="24"/>
          <w:szCs w:val="24"/>
        </w:rPr>
        <w:t>Top Classes/</w:t>
      </w:r>
      <w:r>
        <w:rPr>
          <w:b/>
          <w:sz w:val="24"/>
          <w:szCs w:val="24"/>
        </w:rPr>
        <w:t>Properties</w:t>
      </w:r>
    </w:p>
    <w:tbl>
      <w:tblPr>
        <w:tblStyle w:val="TableGrid"/>
        <w:tblW w:w="0" w:type="auto"/>
        <w:tblLook w:val="04A0" w:firstRow="1" w:lastRow="0" w:firstColumn="1" w:lastColumn="0" w:noHBand="0" w:noVBand="1"/>
      </w:tblPr>
      <w:tblGrid>
        <w:gridCol w:w="2965"/>
        <w:gridCol w:w="2610"/>
        <w:gridCol w:w="3775"/>
      </w:tblGrid>
      <w:tr w:rsidR="0067391A" w:rsidTr="00550C34">
        <w:tc>
          <w:tcPr>
            <w:tcW w:w="9350" w:type="dxa"/>
            <w:gridSpan w:val="3"/>
          </w:tcPr>
          <w:p w:rsidR="0067391A" w:rsidRDefault="0067391A" w:rsidP="00550C34">
            <w:pPr>
              <w:jc w:val="center"/>
              <w:rPr>
                <w:b/>
                <w:sz w:val="24"/>
                <w:szCs w:val="24"/>
              </w:rPr>
            </w:pPr>
            <w:r>
              <w:rPr>
                <w:b/>
                <w:sz w:val="24"/>
                <w:szCs w:val="24"/>
              </w:rPr>
              <w:t>Classes</w:t>
            </w:r>
          </w:p>
        </w:tc>
      </w:tr>
      <w:tr w:rsidR="0067391A" w:rsidRPr="001E76C4" w:rsidTr="0067391A">
        <w:tc>
          <w:tcPr>
            <w:tcW w:w="2965" w:type="dxa"/>
          </w:tcPr>
          <w:p w:rsidR="0067391A" w:rsidRDefault="0067391A" w:rsidP="00550C34">
            <w:pPr>
              <w:rPr>
                <w:b/>
                <w:sz w:val="24"/>
                <w:szCs w:val="24"/>
              </w:rPr>
            </w:pPr>
            <w:r>
              <w:rPr>
                <w:b/>
                <w:sz w:val="24"/>
                <w:szCs w:val="24"/>
              </w:rPr>
              <w:t>Class</w:t>
            </w:r>
          </w:p>
        </w:tc>
        <w:tc>
          <w:tcPr>
            <w:tcW w:w="2610" w:type="dxa"/>
          </w:tcPr>
          <w:p w:rsidR="0067391A" w:rsidRPr="001E76C4" w:rsidRDefault="0067391A" w:rsidP="00550C34">
            <w:pPr>
              <w:rPr>
                <w:i/>
                <w:sz w:val="24"/>
                <w:szCs w:val="24"/>
              </w:rPr>
            </w:pPr>
            <w:r w:rsidRPr="001E76C4">
              <w:rPr>
                <w:i/>
                <w:sz w:val="24"/>
                <w:szCs w:val="24"/>
              </w:rPr>
              <w:t>Subclass of</w:t>
            </w:r>
          </w:p>
        </w:tc>
        <w:tc>
          <w:tcPr>
            <w:tcW w:w="3775" w:type="dxa"/>
          </w:tcPr>
          <w:p w:rsidR="0067391A" w:rsidRPr="001E76C4" w:rsidRDefault="0067391A" w:rsidP="00550C34">
            <w:pPr>
              <w:rPr>
                <w:i/>
                <w:sz w:val="24"/>
                <w:szCs w:val="24"/>
              </w:rPr>
            </w:pPr>
            <w:r>
              <w:rPr>
                <w:i/>
                <w:sz w:val="24"/>
                <w:szCs w:val="24"/>
              </w:rPr>
              <w:t>Definition</w:t>
            </w:r>
          </w:p>
        </w:tc>
      </w:tr>
      <w:tr w:rsidR="0067391A" w:rsidRPr="001E76C4" w:rsidTr="0067391A">
        <w:tc>
          <w:tcPr>
            <w:tcW w:w="2965" w:type="dxa"/>
          </w:tcPr>
          <w:p w:rsidR="0067391A" w:rsidRPr="0067391A" w:rsidRDefault="0067391A" w:rsidP="0067391A">
            <w:pPr>
              <w:rPr>
                <w:sz w:val="24"/>
                <w:szCs w:val="24"/>
              </w:rPr>
            </w:pPr>
            <w:r>
              <w:rPr>
                <w:sz w:val="24"/>
                <w:szCs w:val="24"/>
              </w:rPr>
              <w:t>bf:Identifier</w:t>
            </w:r>
          </w:p>
        </w:tc>
        <w:tc>
          <w:tcPr>
            <w:tcW w:w="2610" w:type="dxa"/>
          </w:tcPr>
          <w:p w:rsidR="0067391A" w:rsidRPr="001E76C4" w:rsidRDefault="0067391A" w:rsidP="0067391A">
            <w:pPr>
              <w:rPr>
                <w:sz w:val="24"/>
                <w:szCs w:val="24"/>
              </w:rPr>
            </w:pPr>
            <w:r>
              <w:rPr>
                <w:sz w:val="24"/>
                <w:szCs w:val="24"/>
              </w:rPr>
              <w:t>bf:Resource</w:t>
            </w:r>
          </w:p>
        </w:tc>
        <w:tc>
          <w:tcPr>
            <w:tcW w:w="3775" w:type="dxa"/>
          </w:tcPr>
          <w:p w:rsidR="0067391A" w:rsidRPr="001E76C4" w:rsidRDefault="0067391A" w:rsidP="00550C34">
            <w:pPr>
              <w:rPr>
                <w:sz w:val="24"/>
                <w:szCs w:val="24"/>
              </w:rPr>
            </w:pPr>
            <w:r w:rsidRPr="0067391A">
              <w:rPr>
                <w:sz w:val="24"/>
                <w:szCs w:val="24"/>
              </w:rPr>
              <w:t>Token or name that is associated with a resource, such as a URI or an ISBN</w:t>
            </w:r>
            <w:r>
              <w:rPr>
                <w:sz w:val="24"/>
                <w:szCs w:val="24"/>
              </w:rPr>
              <w:t>.</w:t>
            </w:r>
          </w:p>
        </w:tc>
      </w:tr>
    </w:tbl>
    <w:p w:rsidR="00DE189E" w:rsidRDefault="00DE189E" w:rsidP="00DE189E"/>
    <w:tbl>
      <w:tblPr>
        <w:tblStyle w:val="TableGrid"/>
        <w:tblW w:w="9355" w:type="dxa"/>
        <w:tblLook w:val="04A0" w:firstRow="1" w:lastRow="0" w:firstColumn="1" w:lastColumn="0" w:noHBand="0" w:noVBand="1"/>
      </w:tblPr>
      <w:tblGrid>
        <w:gridCol w:w="2965"/>
        <w:gridCol w:w="2700"/>
        <w:gridCol w:w="3690"/>
      </w:tblGrid>
      <w:tr w:rsidR="0067391A" w:rsidRPr="001E76C4" w:rsidTr="0067391A">
        <w:tc>
          <w:tcPr>
            <w:tcW w:w="2965" w:type="dxa"/>
          </w:tcPr>
          <w:p w:rsidR="0067391A" w:rsidRPr="001E76C4" w:rsidRDefault="0067391A" w:rsidP="00550C34">
            <w:pPr>
              <w:rPr>
                <w:i/>
                <w:sz w:val="24"/>
                <w:szCs w:val="24"/>
              </w:rPr>
            </w:pPr>
            <w:r w:rsidRPr="001E76C4">
              <w:rPr>
                <w:i/>
                <w:sz w:val="24"/>
                <w:szCs w:val="24"/>
              </w:rPr>
              <w:t>Property of</w:t>
            </w:r>
          </w:p>
        </w:tc>
        <w:tc>
          <w:tcPr>
            <w:tcW w:w="2700" w:type="dxa"/>
          </w:tcPr>
          <w:p w:rsidR="0067391A" w:rsidRPr="001E76C4" w:rsidRDefault="0067391A" w:rsidP="00550C34">
            <w:pPr>
              <w:rPr>
                <w:b/>
                <w:sz w:val="24"/>
                <w:szCs w:val="24"/>
              </w:rPr>
            </w:pPr>
            <w:r w:rsidRPr="001E76C4">
              <w:rPr>
                <w:b/>
                <w:sz w:val="24"/>
                <w:szCs w:val="24"/>
              </w:rPr>
              <w:t>Property</w:t>
            </w:r>
          </w:p>
        </w:tc>
        <w:tc>
          <w:tcPr>
            <w:tcW w:w="3690" w:type="dxa"/>
          </w:tcPr>
          <w:p w:rsidR="0067391A" w:rsidRPr="001E76C4" w:rsidRDefault="0067391A" w:rsidP="00550C34">
            <w:pPr>
              <w:rPr>
                <w:i/>
                <w:sz w:val="24"/>
                <w:szCs w:val="24"/>
              </w:rPr>
            </w:pPr>
            <w:r w:rsidRPr="001E76C4">
              <w:rPr>
                <w:i/>
                <w:sz w:val="24"/>
                <w:szCs w:val="24"/>
              </w:rPr>
              <w:t>Expected value</w:t>
            </w:r>
          </w:p>
        </w:tc>
      </w:tr>
      <w:tr w:rsidR="0067391A" w:rsidRPr="001E76C4" w:rsidTr="0067391A">
        <w:tc>
          <w:tcPr>
            <w:tcW w:w="2965" w:type="dxa"/>
          </w:tcPr>
          <w:p w:rsidR="0067391A" w:rsidRPr="001E76C4" w:rsidRDefault="0067391A" w:rsidP="00550C34">
            <w:pPr>
              <w:rPr>
                <w:sz w:val="24"/>
                <w:szCs w:val="24"/>
              </w:rPr>
            </w:pPr>
            <w:r>
              <w:rPr>
                <w:sz w:val="24"/>
                <w:szCs w:val="24"/>
              </w:rPr>
              <w:t>Unspecified</w:t>
            </w:r>
          </w:p>
        </w:tc>
        <w:tc>
          <w:tcPr>
            <w:tcW w:w="2700" w:type="dxa"/>
          </w:tcPr>
          <w:p w:rsidR="0067391A" w:rsidRPr="001E76C4" w:rsidRDefault="0067391A" w:rsidP="0067391A">
            <w:pPr>
              <w:rPr>
                <w:sz w:val="24"/>
                <w:szCs w:val="24"/>
              </w:rPr>
            </w:pPr>
            <w:r>
              <w:rPr>
                <w:sz w:val="24"/>
                <w:szCs w:val="24"/>
              </w:rPr>
              <w:t>pmo:identifiedBy</w:t>
            </w:r>
          </w:p>
        </w:tc>
        <w:tc>
          <w:tcPr>
            <w:tcW w:w="3690" w:type="dxa"/>
          </w:tcPr>
          <w:p w:rsidR="0067391A" w:rsidRPr="008D5AF7" w:rsidRDefault="0067391A" w:rsidP="00550C34">
            <w:pPr>
              <w:rPr>
                <w:sz w:val="24"/>
                <w:szCs w:val="24"/>
              </w:rPr>
            </w:pPr>
            <w:r>
              <w:rPr>
                <w:sz w:val="24"/>
                <w:szCs w:val="24"/>
              </w:rPr>
              <w:t>bf:Identifier</w:t>
            </w:r>
          </w:p>
        </w:tc>
      </w:tr>
    </w:tbl>
    <w:p w:rsidR="0067391A" w:rsidRDefault="0067391A" w:rsidP="00DE189E"/>
    <w:p w:rsidR="0067391A" w:rsidRDefault="0067391A" w:rsidP="00DE189E">
      <w:pPr>
        <w:rPr>
          <w:b/>
          <w:sz w:val="28"/>
          <w:szCs w:val="28"/>
        </w:rPr>
      </w:pPr>
      <w:r>
        <w:rPr>
          <w:b/>
          <w:sz w:val="28"/>
          <w:szCs w:val="28"/>
        </w:rPr>
        <w:t>Suggested changes to definitions of selected subclasses of bf:Identifier</w:t>
      </w:r>
      <w:r w:rsidR="001B28AE">
        <w:rPr>
          <w:b/>
          <w:sz w:val="28"/>
          <w:szCs w:val="28"/>
        </w:rPr>
        <w:t xml:space="preserve"> in BIBFRAME 2.0</w:t>
      </w:r>
    </w:p>
    <w:p w:rsidR="001B28AE" w:rsidRPr="001B28AE" w:rsidRDefault="001B28AE" w:rsidP="00DE189E">
      <w:pPr>
        <w:rPr>
          <w:sz w:val="24"/>
          <w:szCs w:val="24"/>
        </w:rPr>
      </w:pPr>
      <w:r w:rsidRPr="001B28AE">
        <w:rPr>
          <w:sz w:val="24"/>
          <w:szCs w:val="24"/>
        </w:rPr>
        <w:t>Changes are suggested to clarify or correct orginal definitions.</w:t>
      </w:r>
      <w:r>
        <w:rPr>
          <w:sz w:val="24"/>
          <w:szCs w:val="24"/>
        </w:rPr>
        <w:t xml:space="preserve"> “Identifier” is used in place of “number” </w:t>
      </w:r>
      <w:r w:rsidR="00EB3DF5">
        <w:rPr>
          <w:sz w:val="24"/>
          <w:szCs w:val="24"/>
        </w:rPr>
        <w:t xml:space="preserve">in the definition </w:t>
      </w:r>
      <w:r>
        <w:rPr>
          <w:sz w:val="24"/>
          <w:szCs w:val="24"/>
        </w:rPr>
        <w:t xml:space="preserve">since all these identifiers may be either numeric or alphanumeric in </w:t>
      </w:r>
      <w:r w:rsidR="00EB3DF5">
        <w:rPr>
          <w:sz w:val="24"/>
          <w:szCs w:val="24"/>
        </w:rPr>
        <w:t>content</w:t>
      </w:r>
      <w:r>
        <w:rPr>
          <w:sz w:val="24"/>
          <w:szCs w:val="24"/>
        </w:rPr>
        <w:t>, even though they are generally called “numbers”.</w:t>
      </w:r>
      <w:r w:rsidR="00EB3DF5">
        <w:rPr>
          <w:sz w:val="24"/>
          <w:szCs w:val="24"/>
        </w:rPr>
        <w:t xml:space="preserve"> There was a preference in the PMO group to also change the names of the subclasses with the term “number” in their name, but since changing names of classes may cause issues for those who have implemented the ontology, we are not requesting it at this time. We would like LC to keep this in mind, however, if there is a large scale revision of BIBFRAME in the future and have included suggested new names.</w:t>
      </w:r>
    </w:p>
    <w:tbl>
      <w:tblPr>
        <w:tblStyle w:val="TableGrid"/>
        <w:tblW w:w="0" w:type="auto"/>
        <w:tblLook w:val="04A0" w:firstRow="1" w:lastRow="0" w:firstColumn="1" w:lastColumn="0" w:noHBand="0" w:noVBand="1"/>
      </w:tblPr>
      <w:tblGrid>
        <w:gridCol w:w="3777"/>
        <w:gridCol w:w="2338"/>
        <w:gridCol w:w="3235"/>
      </w:tblGrid>
      <w:tr w:rsidR="001B28AE" w:rsidTr="00550C34">
        <w:tc>
          <w:tcPr>
            <w:tcW w:w="9350" w:type="dxa"/>
            <w:gridSpan w:val="3"/>
          </w:tcPr>
          <w:p w:rsidR="001B28AE" w:rsidRDefault="001B28AE" w:rsidP="00550C34">
            <w:pPr>
              <w:jc w:val="center"/>
              <w:rPr>
                <w:b/>
                <w:sz w:val="24"/>
                <w:szCs w:val="24"/>
              </w:rPr>
            </w:pPr>
            <w:r>
              <w:rPr>
                <w:b/>
                <w:sz w:val="24"/>
                <w:szCs w:val="24"/>
              </w:rPr>
              <w:t>Subclasses</w:t>
            </w:r>
          </w:p>
        </w:tc>
      </w:tr>
      <w:tr w:rsidR="001B28AE" w:rsidRPr="001E76C4" w:rsidTr="00550C34">
        <w:tc>
          <w:tcPr>
            <w:tcW w:w="2965" w:type="dxa"/>
          </w:tcPr>
          <w:p w:rsidR="001B28AE" w:rsidRDefault="001B28AE" w:rsidP="00550C34">
            <w:pPr>
              <w:rPr>
                <w:b/>
                <w:sz w:val="24"/>
                <w:szCs w:val="24"/>
              </w:rPr>
            </w:pPr>
            <w:r>
              <w:rPr>
                <w:b/>
                <w:sz w:val="24"/>
                <w:szCs w:val="24"/>
              </w:rPr>
              <w:t>Class</w:t>
            </w:r>
          </w:p>
        </w:tc>
        <w:tc>
          <w:tcPr>
            <w:tcW w:w="2610" w:type="dxa"/>
          </w:tcPr>
          <w:p w:rsidR="001B28AE" w:rsidRPr="001E76C4" w:rsidRDefault="001B28AE" w:rsidP="00550C34">
            <w:pPr>
              <w:rPr>
                <w:i/>
                <w:sz w:val="24"/>
                <w:szCs w:val="24"/>
              </w:rPr>
            </w:pPr>
            <w:r>
              <w:rPr>
                <w:i/>
                <w:sz w:val="24"/>
                <w:szCs w:val="24"/>
              </w:rPr>
              <w:t>Original definition</w:t>
            </w:r>
          </w:p>
        </w:tc>
        <w:tc>
          <w:tcPr>
            <w:tcW w:w="3775" w:type="dxa"/>
          </w:tcPr>
          <w:p w:rsidR="001B28AE" w:rsidRPr="001E76C4" w:rsidRDefault="001B28AE" w:rsidP="00550C34">
            <w:pPr>
              <w:rPr>
                <w:i/>
                <w:sz w:val="24"/>
                <w:szCs w:val="24"/>
              </w:rPr>
            </w:pPr>
            <w:r>
              <w:rPr>
                <w:i/>
                <w:sz w:val="24"/>
                <w:szCs w:val="24"/>
              </w:rPr>
              <w:t>New definition</w:t>
            </w:r>
          </w:p>
        </w:tc>
      </w:tr>
      <w:tr w:rsidR="001B28AE" w:rsidRPr="001E76C4" w:rsidTr="00550C34">
        <w:tc>
          <w:tcPr>
            <w:tcW w:w="2965" w:type="dxa"/>
          </w:tcPr>
          <w:p w:rsidR="001B28AE" w:rsidRPr="0067391A" w:rsidRDefault="001B28AE" w:rsidP="009F159A">
            <w:pPr>
              <w:rPr>
                <w:sz w:val="24"/>
                <w:szCs w:val="24"/>
              </w:rPr>
            </w:pPr>
            <w:r>
              <w:rPr>
                <w:sz w:val="24"/>
                <w:szCs w:val="24"/>
              </w:rPr>
              <w:t>bf:</w:t>
            </w:r>
            <w:r w:rsidR="009F159A">
              <w:rPr>
                <w:sz w:val="24"/>
                <w:szCs w:val="24"/>
              </w:rPr>
              <w:t>M</w:t>
            </w:r>
            <w:r w:rsidR="00EB3DF5">
              <w:rPr>
                <w:sz w:val="24"/>
                <w:szCs w:val="24"/>
              </w:rPr>
              <w:t>usicPlate</w:t>
            </w:r>
          </w:p>
        </w:tc>
        <w:tc>
          <w:tcPr>
            <w:tcW w:w="2610" w:type="dxa"/>
          </w:tcPr>
          <w:p w:rsidR="001B28AE" w:rsidRPr="001B28AE" w:rsidRDefault="001B28AE" w:rsidP="001B28AE">
            <w:pPr>
              <w:rPr>
                <w:szCs w:val="24"/>
              </w:rPr>
            </w:pPr>
            <w:r w:rsidRPr="001B28AE">
              <w:rPr>
                <w:szCs w:val="24"/>
              </w:rPr>
              <w:t>Number assigned by a music publisher to a specific music publication</w:t>
            </w:r>
          </w:p>
        </w:tc>
        <w:tc>
          <w:tcPr>
            <w:tcW w:w="3775" w:type="dxa"/>
          </w:tcPr>
          <w:p w:rsidR="001B28AE" w:rsidRPr="001B28AE" w:rsidRDefault="001B28AE" w:rsidP="00550C34">
            <w:pPr>
              <w:rPr>
                <w:szCs w:val="24"/>
              </w:rPr>
            </w:pPr>
            <w:r w:rsidRPr="001B28AE">
              <w:rPr>
                <w:szCs w:val="24"/>
              </w:rPr>
              <w:t>Identifer(s) assigned by a music publisher or printer to to the printing plates for the notated portion of a notated music publication, or an identifier that emulates the printing plate tradition in contemporary publications</w:t>
            </w:r>
          </w:p>
        </w:tc>
      </w:tr>
      <w:tr w:rsidR="001B28AE" w:rsidRPr="001E76C4" w:rsidTr="00550C34">
        <w:tc>
          <w:tcPr>
            <w:tcW w:w="2965" w:type="dxa"/>
          </w:tcPr>
          <w:p w:rsidR="001B28AE" w:rsidRDefault="001B28AE" w:rsidP="001B28AE">
            <w:pPr>
              <w:rPr>
                <w:sz w:val="24"/>
                <w:szCs w:val="24"/>
              </w:rPr>
            </w:pPr>
            <w:r>
              <w:rPr>
                <w:sz w:val="24"/>
                <w:szCs w:val="24"/>
              </w:rPr>
              <w:lastRenderedPageBreak/>
              <w:t>bf:MusicPublisherNumber</w:t>
            </w:r>
          </w:p>
          <w:p w:rsidR="00EB3DF5" w:rsidRPr="00EB3DF5" w:rsidRDefault="00EB3DF5" w:rsidP="001B28AE">
            <w:pPr>
              <w:rPr>
                <w:i/>
                <w:sz w:val="24"/>
                <w:szCs w:val="24"/>
              </w:rPr>
            </w:pPr>
            <w:r>
              <w:rPr>
                <w:i/>
                <w:sz w:val="24"/>
                <w:szCs w:val="24"/>
              </w:rPr>
              <w:t>(bf:NotatedMusicPublisherIdentifier)</w:t>
            </w:r>
          </w:p>
        </w:tc>
        <w:tc>
          <w:tcPr>
            <w:tcW w:w="2610" w:type="dxa"/>
          </w:tcPr>
          <w:p w:rsidR="001B28AE" w:rsidRPr="001B28AE" w:rsidRDefault="001B28AE" w:rsidP="0069136C">
            <w:pPr>
              <w:rPr>
                <w:szCs w:val="24"/>
              </w:rPr>
            </w:pPr>
            <w:r w:rsidRPr="001B28AE">
              <w:rPr>
                <w:szCs w:val="24"/>
              </w:rPr>
              <w:t xml:space="preserve">Number assigned to a notated music publication </w:t>
            </w:r>
            <w:r w:rsidR="0069136C">
              <w:rPr>
                <w:szCs w:val="24"/>
              </w:rPr>
              <w:t>by the publisher</w:t>
            </w:r>
            <w:r w:rsidRPr="001B28AE">
              <w:rPr>
                <w:szCs w:val="24"/>
              </w:rPr>
              <w:t>.</w:t>
            </w:r>
          </w:p>
        </w:tc>
        <w:tc>
          <w:tcPr>
            <w:tcW w:w="3775" w:type="dxa"/>
          </w:tcPr>
          <w:p w:rsidR="001B28AE" w:rsidRPr="001B28AE" w:rsidRDefault="001B28AE" w:rsidP="00550C34">
            <w:pPr>
              <w:rPr>
                <w:szCs w:val="24"/>
              </w:rPr>
            </w:pPr>
            <w:r w:rsidRPr="001B28AE">
              <w:rPr>
                <w:szCs w:val="24"/>
              </w:rPr>
              <w:t>Identifier assigned to a notated music publication other than an issue, matrix, or plate number.</w:t>
            </w:r>
          </w:p>
        </w:tc>
      </w:tr>
      <w:tr w:rsidR="001B28AE" w:rsidRPr="001E76C4" w:rsidTr="00550C34">
        <w:tc>
          <w:tcPr>
            <w:tcW w:w="2965" w:type="dxa"/>
          </w:tcPr>
          <w:p w:rsidR="001B28AE" w:rsidRDefault="001B28AE" w:rsidP="001B28AE">
            <w:pPr>
              <w:rPr>
                <w:sz w:val="24"/>
                <w:szCs w:val="24"/>
              </w:rPr>
            </w:pPr>
            <w:r>
              <w:rPr>
                <w:sz w:val="24"/>
                <w:szCs w:val="24"/>
              </w:rPr>
              <w:t>bf:MatrixNumber</w:t>
            </w:r>
          </w:p>
          <w:p w:rsidR="00EB3DF5" w:rsidRPr="00EB3DF5" w:rsidRDefault="00EB3DF5" w:rsidP="001B28AE">
            <w:pPr>
              <w:rPr>
                <w:i/>
                <w:sz w:val="24"/>
                <w:szCs w:val="24"/>
              </w:rPr>
            </w:pPr>
            <w:r>
              <w:rPr>
                <w:i/>
                <w:sz w:val="24"/>
                <w:szCs w:val="24"/>
              </w:rPr>
              <w:t>(AudioMatrixIdentifier)</w:t>
            </w:r>
          </w:p>
        </w:tc>
        <w:tc>
          <w:tcPr>
            <w:tcW w:w="2610" w:type="dxa"/>
          </w:tcPr>
          <w:p w:rsidR="001B28AE" w:rsidRPr="001B28AE" w:rsidRDefault="001B28AE" w:rsidP="001B28AE">
            <w:pPr>
              <w:rPr>
                <w:szCs w:val="24"/>
              </w:rPr>
            </w:pPr>
            <w:r w:rsidRPr="001B28AE">
              <w:rPr>
                <w:szCs w:val="24"/>
              </w:rPr>
              <w:t>Matrix number from the master from which a specific sound recording was pressed.</w:t>
            </w:r>
          </w:p>
        </w:tc>
        <w:tc>
          <w:tcPr>
            <w:tcW w:w="3775" w:type="dxa"/>
          </w:tcPr>
          <w:p w:rsidR="001B28AE" w:rsidRPr="001B28AE" w:rsidRDefault="001B28AE" w:rsidP="00550C34">
            <w:pPr>
              <w:rPr>
                <w:szCs w:val="24"/>
              </w:rPr>
            </w:pPr>
            <w:r w:rsidRPr="001B28AE">
              <w:rPr>
                <w:szCs w:val="24"/>
              </w:rPr>
              <w:t>Matrix identifier assigned to the master from which a specific sound recording was pressed.</w:t>
            </w:r>
          </w:p>
        </w:tc>
      </w:tr>
      <w:tr w:rsidR="001B28AE" w:rsidRPr="001E76C4" w:rsidTr="00550C34">
        <w:tc>
          <w:tcPr>
            <w:tcW w:w="2965" w:type="dxa"/>
          </w:tcPr>
          <w:p w:rsidR="001B28AE" w:rsidRDefault="001B28AE" w:rsidP="001B28AE">
            <w:pPr>
              <w:rPr>
                <w:sz w:val="24"/>
                <w:szCs w:val="24"/>
              </w:rPr>
            </w:pPr>
            <w:r>
              <w:rPr>
                <w:sz w:val="24"/>
                <w:szCs w:val="24"/>
              </w:rPr>
              <w:t>bf:IssueNumber</w:t>
            </w:r>
          </w:p>
          <w:p w:rsidR="00EB3DF5" w:rsidRPr="00EB3DF5" w:rsidRDefault="00EB3DF5" w:rsidP="001B28AE">
            <w:pPr>
              <w:rPr>
                <w:i/>
                <w:sz w:val="24"/>
                <w:szCs w:val="24"/>
              </w:rPr>
            </w:pPr>
            <w:r>
              <w:rPr>
                <w:i/>
                <w:sz w:val="24"/>
                <w:szCs w:val="24"/>
              </w:rPr>
              <w:t>(bf:AudioIssueNumber) (see below)</w:t>
            </w:r>
          </w:p>
        </w:tc>
        <w:tc>
          <w:tcPr>
            <w:tcW w:w="2610" w:type="dxa"/>
          </w:tcPr>
          <w:p w:rsidR="001B28AE" w:rsidRPr="001B28AE" w:rsidRDefault="001B28AE" w:rsidP="001B28AE">
            <w:pPr>
              <w:rPr>
                <w:szCs w:val="24"/>
              </w:rPr>
            </w:pPr>
            <w:r w:rsidRPr="001B28AE">
              <w:rPr>
                <w:szCs w:val="24"/>
              </w:rPr>
              <w:t>Number used to identify the issue designation, or serial identification, assigned by a publisher to a sound recording</w:t>
            </w:r>
          </w:p>
        </w:tc>
        <w:tc>
          <w:tcPr>
            <w:tcW w:w="3775" w:type="dxa"/>
          </w:tcPr>
          <w:p w:rsidR="001B28AE" w:rsidRPr="001B28AE" w:rsidRDefault="001B28AE" w:rsidP="00550C34">
            <w:pPr>
              <w:rPr>
                <w:szCs w:val="24"/>
              </w:rPr>
            </w:pPr>
            <w:r w:rsidRPr="001B28AE">
              <w:rPr>
                <w:szCs w:val="24"/>
              </w:rPr>
              <w:t>Identifier assigned by a publisher of an audio recording to identify the issue designation, or serial identification.</w:t>
            </w:r>
          </w:p>
        </w:tc>
      </w:tr>
    </w:tbl>
    <w:p w:rsidR="0067391A" w:rsidRPr="0067391A" w:rsidRDefault="0067391A" w:rsidP="00DE189E">
      <w:pPr>
        <w:rPr>
          <w:sz w:val="28"/>
          <w:szCs w:val="28"/>
        </w:rPr>
      </w:pPr>
    </w:p>
    <w:p w:rsidR="001B28AE" w:rsidRDefault="001B28AE" w:rsidP="001B28AE">
      <w:pPr>
        <w:rPr>
          <w:b/>
          <w:sz w:val="28"/>
          <w:szCs w:val="28"/>
        </w:rPr>
      </w:pPr>
      <w:r>
        <w:rPr>
          <w:b/>
          <w:sz w:val="28"/>
          <w:szCs w:val="28"/>
        </w:rPr>
        <w:t>Suggested changes to names of selected subclasses of bf:Identifier in BIBFRAME 2.0</w:t>
      </w:r>
    </w:p>
    <w:p w:rsidR="001B28AE" w:rsidRDefault="0069136C" w:rsidP="00DE189E">
      <w:pPr>
        <w:rPr>
          <w:sz w:val="24"/>
          <w:szCs w:val="24"/>
        </w:rPr>
      </w:pPr>
      <w:r>
        <w:rPr>
          <w:sz w:val="24"/>
          <w:szCs w:val="24"/>
        </w:rPr>
        <w:t xml:space="preserve">As mentioned above, </w:t>
      </w:r>
      <w:r w:rsidR="001B28AE" w:rsidRPr="00321C5C">
        <w:rPr>
          <w:sz w:val="24"/>
          <w:szCs w:val="24"/>
        </w:rPr>
        <w:t xml:space="preserve">PMO recognizes that it changing the name of a class/subclass may be cause difficulty for existing implementations of the ontology. We do, however, suggest one change for the sake of better </w:t>
      </w:r>
      <w:r w:rsidR="00321C5C" w:rsidRPr="00321C5C">
        <w:rPr>
          <w:sz w:val="24"/>
          <w:szCs w:val="24"/>
        </w:rPr>
        <w:t>defining the subclass.</w:t>
      </w:r>
    </w:p>
    <w:tbl>
      <w:tblPr>
        <w:tblStyle w:val="TableGrid"/>
        <w:tblW w:w="0" w:type="auto"/>
        <w:tblLook w:val="04A0" w:firstRow="1" w:lastRow="0" w:firstColumn="1" w:lastColumn="0" w:noHBand="0" w:noVBand="1"/>
      </w:tblPr>
      <w:tblGrid>
        <w:gridCol w:w="2965"/>
        <w:gridCol w:w="2610"/>
        <w:gridCol w:w="3775"/>
      </w:tblGrid>
      <w:tr w:rsidR="00321C5C" w:rsidTr="00550C34">
        <w:tc>
          <w:tcPr>
            <w:tcW w:w="9350" w:type="dxa"/>
            <w:gridSpan w:val="3"/>
          </w:tcPr>
          <w:p w:rsidR="00321C5C" w:rsidRDefault="00321C5C" w:rsidP="00550C34">
            <w:pPr>
              <w:jc w:val="center"/>
              <w:rPr>
                <w:b/>
                <w:sz w:val="24"/>
                <w:szCs w:val="24"/>
              </w:rPr>
            </w:pPr>
            <w:r>
              <w:rPr>
                <w:b/>
                <w:sz w:val="24"/>
                <w:szCs w:val="24"/>
              </w:rPr>
              <w:t>Subclasses</w:t>
            </w:r>
          </w:p>
        </w:tc>
      </w:tr>
      <w:tr w:rsidR="00321C5C" w:rsidRPr="001E76C4" w:rsidTr="00550C34">
        <w:tc>
          <w:tcPr>
            <w:tcW w:w="2965" w:type="dxa"/>
          </w:tcPr>
          <w:p w:rsidR="00321C5C" w:rsidRDefault="00321C5C" w:rsidP="00321C5C">
            <w:pPr>
              <w:rPr>
                <w:b/>
                <w:sz w:val="24"/>
                <w:szCs w:val="24"/>
              </w:rPr>
            </w:pPr>
            <w:r>
              <w:rPr>
                <w:b/>
                <w:sz w:val="24"/>
                <w:szCs w:val="24"/>
              </w:rPr>
              <w:t>Current Subclass Name</w:t>
            </w:r>
          </w:p>
        </w:tc>
        <w:tc>
          <w:tcPr>
            <w:tcW w:w="2610" w:type="dxa"/>
          </w:tcPr>
          <w:p w:rsidR="00321C5C" w:rsidRPr="00321C5C" w:rsidRDefault="00321C5C" w:rsidP="00550C34">
            <w:pPr>
              <w:rPr>
                <w:b/>
                <w:sz w:val="24"/>
                <w:szCs w:val="24"/>
              </w:rPr>
            </w:pPr>
            <w:r>
              <w:rPr>
                <w:b/>
                <w:sz w:val="24"/>
                <w:szCs w:val="24"/>
              </w:rPr>
              <w:t>New Subclass Name</w:t>
            </w:r>
          </w:p>
        </w:tc>
        <w:tc>
          <w:tcPr>
            <w:tcW w:w="3775" w:type="dxa"/>
          </w:tcPr>
          <w:p w:rsidR="00321C5C" w:rsidRPr="00321C5C" w:rsidRDefault="00321C5C" w:rsidP="00550C34">
            <w:pPr>
              <w:rPr>
                <w:b/>
                <w:sz w:val="24"/>
                <w:szCs w:val="24"/>
              </w:rPr>
            </w:pPr>
            <w:r>
              <w:rPr>
                <w:b/>
                <w:sz w:val="24"/>
                <w:szCs w:val="24"/>
              </w:rPr>
              <w:t>Reasoning</w:t>
            </w:r>
          </w:p>
        </w:tc>
      </w:tr>
      <w:tr w:rsidR="00321C5C" w:rsidRPr="001E76C4" w:rsidTr="00550C34">
        <w:tc>
          <w:tcPr>
            <w:tcW w:w="2965" w:type="dxa"/>
          </w:tcPr>
          <w:p w:rsidR="00321C5C" w:rsidRPr="0067391A" w:rsidRDefault="00321C5C" w:rsidP="00321C5C">
            <w:pPr>
              <w:rPr>
                <w:sz w:val="24"/>
                <w:szCs w:val="24"/>
              </w:rPr>
            </w:pPr>
            <w:r>
              <w:rPr>
                <w:sz w:val="24"/>
                <w:szCs w:val="24"/>
              </w:rPr>
              <w:t>bf:IssueNumber</w:t>
            </w:r>
          </w:p>
        </w:tc>
        <w:tc>
          <w:tcPr>
            <w:tcW w:w="2610" w:type="dxa"/>
          </w:tcPr>
          <w:p w:rsidR="00321C5C" w:rsidRPr="001B28AE" w:rsidRDefault="00321C5C" w:rsidP="00550C34">
            <w:pPr>
              <w:rPr>
                <w:szCs w:val="24"/>
              </w:rPr>
            </w:pPr>
            <w:r>
              <w:rPr>
                <w:szCs w:val="24"/>
              </w:rPr>
              <w:t>bf:AudioIssueNumber</w:t>
            </w:r>
          </w:p>
        </w:tc>
        <w:tc>
          <w:tcPr>
            <w:tcW w:w="3775" w:type="dxa"/>
          </w:tcPr>
          <w:p w:rsidR="00321C5C" w:rsidRPr="001B28AE" w:rsidRDefault="00321C5C" w:rsidP="00550C34">
            <w:pPr>
              <w:rPr>
                <w:szCs w:val="24"/>
              </w:rPr>
            </w:pPr>
            <w:r>
              <w:rPr>
                <w:szCs w:val="24"/>
              </w:rPr>
              <w:t>“Issue number” may mean many things in a library environment. Most implementers/catalogers would most likely think it has to do with serials rather than sound recordings. The new name clarifies that this subclass is restricted to audio, without the need to read the definition to know.</w:t>
            </w:r>
          </w:p>
        </w:tc>
      </w:tr>
    </w:tbl>
    <w:p w:rsidR="00321C5C" w:rsidRPr="00321C5C" w:rsidRDefault="00321C5C" w:rsidP="00DE189E">
      <w:pPr>
        <w:rPr>
          <w:sz w:val="24"/>
          <w:szCs w:val="24"/>
        </w:rPr>
      </w:pPr>
    </w:p>
    <w:p w:rsidR="00DE189E" w:rsidRDefault="00321C5C" w:rsidP="00DE189E">
      <w:pPr>
        <w:rPr>
          <w:b/>
          <w:sz w:val="28"/>
          <w:szCs w:val="28"/>
        </w:rPr>
      </w:pPr>
      <w:r>
        <w:rPr>
          <w:b/>
          <w:sz w:val="28"/>
          <w:szCs w:val="28"/>
        </w:rPr>
        <w:t>Suggested Additional Subclasses for BIBFRAME 2.0</w:t>
      </w:r>
    </w:p>
    <w:p w:rsidR="00EB3DF5" w:rsidRDefault="00321C5C" w:rsidP="008D5AF7">
      <w:pPr>
        <w:rPr>
          <w:sz w:val="24"/>
          <w:szCs w:val="24"/>
        </w:rPr>
      </w:pPr>
      <w:r>
        <w:rPr>
          <w:sz w:val="24"/>
          <w:szCs w:val="24"/>
        </w:rPr>
        <w:t>The following subclasses are for identifiers used or encountered by the music cataloging community. We strongly suggest that these become part of the “core” BIBFRAME 2.0 ontology. If not, they will become part of the PMO extension.</w:t>
      </w:r>
      <w:r w:rsidR="009F159A">
        <w:rPr>
          <w:sz w:val="24"/>
          <w:szCs w:val="24"/>
        </w:rPr>
        <w:t xml:space="preserve"> </w:t>
      </w:r>
    </w:p>
    <w:p w:rsidR="009F159A" w:rsidRDefault="009F159A" w:rsidP="008D5AF7">
      <w:pPr>
        <w:rPr>
          <w:sz w:val="24"/>
          <w:szCs w:val="24"/>
        </w:rPr>
      </w:pPr>
      <w:r>
        <w:rPr>
          <w:sz w:val="24"/>
          <w:szCs w:val="24"/>
        </w:rPr>
        <w:t xml:space="preserve">All </w:t>
      </w:r>
      <w:r w:rsidR="00EB3DF5">
        <w:rPr>
          <w:sz w:val="24"/>
          <w:szCs w:val="24"/>
        </w:rPr>
        <w:t xml:space="preserve">new identifiers </w:t>
      </w:r>
      <w:r>
        <w:rPr>
          <w:sz w:val="24"/>
          <w:szCs w:val="24"/>
        </w:rPr>
        <w:t>are subclasses of bf:Identifier.</w:t>
      </w:r>
    </w:p>
    <w:tbl>
      <w:tblPr>
        <w:tblStyle w:val="TableGrid"/>
        <w:tblW w:w="9715" w:type="dxa"/>
        <w:tblLook w:val="04A0" w:firstRow="1" w:lastRow="0" w:firstColumn="1" w:lastColumn="0" w:noHBand="0" w:noVBand="1"/>
      </w:tblPr>
      <w:tblGrid>
        <w:gridCol w:w="3369"/>
        <w:gridCol w:w="6346"/>
      </w:tblGrid>
      <w:tr w:rsidR="009F159A" w:rsidRPr="001E76C4" w:rsidTr="009F159A">
        <w:tc>
          <w:tcPr>
            <w:tcW w:w="9715" w:type="dxa"/>
            <w:gridSpan w:val="2"/>
          </w:tcPr>
          <w:p w:rsidR="009F159A" w:rsidRPr="009F159A" w:rsidRDefault="009F159A" w:rsidP="009F159A">
            <w:pPr>
              <w:jc w:val="center"/>
              <w:rPr>
                <w:b/>
                <w:sz w:val="24"/>
                <w:szCs w:val="24"/>
              </w:rPr>
            </w:pPr>
            <w:r w:rsidRPr="009F159A">
              <w:rPr>
                <w:b/>
                <w:sz w:val="24"/>
                <w:szCs w:val="24"/>
              </w:rPr>
              <w:t>Subclasses</w:t>
            </w:r>
          </w:p>
        </w:tc>
      </w:tr>
      <w:tr w:rsidR="009F159A" w:rsidRPr="001E76C4" w:rsidTr="009F159A">
        <w:tc>
          <w:tcPr>
            <w:tcW w:w="3369" w:type="dxa"/>
          </w:tcPr>
          <w:p w:rsidR="009F159A" w:rsidRDefault="009F159A" w:rsidP="00550C34">
            <w:pPr>
              <w:rPr>
                <w:b/>
                <w:sz w:val="24"/>
                <w:szCs w:val="24"/>
              </w:rPr>
            </w:pPr>
            <w:r>
              <w:rPr>
                <w:b/>
                <w:sz w:val="24"/>
                <w:szCs w:val="24"/>
              </w:rPr>
              <w:t>Class</w:t>
            </w:r>
          </w:p>
        </w:tc>
        <w:tc>
          <w:tcPr>
            <w:tcW w:w="6346" w:type="dxa"/>
          </w:tcPr>
          <w:p w:rsidR="009F159A" w:rsidRPr="009F159A" w:rsidRDefault="009F159A" w:rsidP="00550C34">
            <w:pPr>
              <w:rPr>
                <w:b/>
                <w:sz w:val="24"/>
                <w:szCs w:val="24"/>
              </w:rPr>
            </w:pPr>
            <w:r w:rsidRPr="009F159A">
              <w:rPr>
                <w:b/>
                <w:sz w:val="24"/>
                <w:szCs w:val="24"/>
              </w:rPr>
              <w:t>Definition</w:t>
            </w:r>
          </w:p>
        </w:tc>
      </w:tr>
      <w:tr w:rsidR="009F159A" w:rsidRPr="001E76C4" w:rsidTr="009F159A">
        <w:tc>
          <w:tcPr>
            <w:tcW w:w="3369" w:type="dxa"/>
          </w:tcPr>
          <w:p w:rsidR="009F159A" w:rsidRPr="0067391A" w:rsidRDefault="009F159A" w:rsidP="009F159A">
            <w:pPr>
              <w:rPr>
                <w:sz w:val="24"/>
                <w:szCs w:val="24"/>
              </w:rPr>
            </w:pPr>
            <w:r>
              <w:rPr>
                <w:sz w:val="24"/>
                <w:szCs w:val="24"/>
              </w:rPr>
              <w:t>bf:AudioTake</w:t>
            </w:r>
          </w:p>
        </w:tc>
        <w:tc>
          <w:tcPr>
            <w:tcW w:w="6346" w:type="dxa"/>
          </w:tcPr>
          <w:p w:rsidR="009F159A" w:rsidRPr="009F159A" w:rsidRDefault="009F159A" w:rsidP="009F159A">
            <w:pPr>
              <w:rPr>
                <w:sz w:val="24"/>
                <w:szCs w:val="24"/>
              </w:rPr>
            </w:pPr>
            <w:r w:rsidRPr="009F159A">
              <w:rPr>
                <w:szCs w:val="24"/>
              </w:rPr>
              <w:t>Identifier(s) assigned to the smallest identifiable unit of a recording session, e.g., a specific recording of an individual song.</w:t>
            </w:r>
          </w:p>
        </w:tc>
      </w:tr>
      <w:tr w:rsidR="009F159A" w:rsidRPr="001E76C4" w:rsidTr="009F159A">
        <w:tc>
          <w:tcPr>
            <w:tcW w:w="3369" w:type="dxa"/>
          </w:tcPr>
          <w:p w:rsidR="009F159A" w:rsidRDefault="0069136C" w:rsidP="00FD1352">
            <w:pPr>
              <w:rPr>
                <w:sz w:val="24"/>
                <w:szCs w:val="24"/>
              </w:rPr>
            </w:pPr>
            <w:r>
              <w:rPr>
                <w:sz w:val="24"/>
                <w:szCs w:val="24"/>
              </w:rPr>
              <w:lastRenderedPageBreak/>
              <w:t>bf:</w:t>
            </w:r>
            <w:r w:rsidR="00FD1352">
              <w:rPr>
                <w:sz w:val="24"/>
                <w:szCs w:val="24"/>
              </w:rPr>
              <w:t>Music</w:t>
            </w:r>
            <w:r w:rsidR="009F159A">
              <w:rPr>
                <w:sz w:val="24"/>
                <w:szCs w:val="24"/>
              </w:rPr>
              <w:t>DistributorNumber</w:t>
            </w:r>
          </w:p>
        </w:tc>
        <w:tc>
          <w:tcPr>
            <w:tcW w:w="6346" w:type="dxa"/>
          </w:tcPr>
          <w:p w:rsidR="009F159A" w:rsidRPr="001B28AE" w:rsidRDefault="009F159A" w:rsidP="00550C34">
            <w:pPr>
              <w:rPr>
                <w:szCs w:val="24"/>
              </w:rPr>
            </w:pPr>
            <w:r w:rsidRPr="009F159A">
              <w:rPr>
                <w:szCs w:val="24"/>
              </w:rPr>
              <w:t>Identifier(s) appearing on a resource assigned by a distributor to a specific audio recording, publication of notated music, other music-related resource, or video recording</w:t>
            </w:r>
          </w:p>
        </w:tc>
      </w:tr>
      <w:tr w:rsidR="0069136C" w:rsidRPr="001E76C4" w:rsidTr="009F159A">
        <w:tc>
          <w:tcPr>
            <w:tcW w:w="3369" w:type="dxa"/>
          </w:tcPr>
          <w:p w:rsidR="0069136C" w:rsidRDefault="0069136C" w:rsidP="009F159A">
            <w:pPr>
              <w:rPr>
                <w:sz w:val="24"/>
                <w:szCs w:val="24"/>
              </w:rPr>
            </w:pPr>
            <w:r>
              <w:rPr>
                <w:sz w:val="24"/>
                <w:szCs w:val="24"/>
              </w:rPr>
              <w:t>bf:Gtin14Number</w:t>
            </w:r>
          </w:p>
        </w:tc>
        <w:tc>
          <w:tcPr>
            <w:tcW w:w="6346" w:type="dxa"/>
          </w:tcPr>
          <w:p w:rsidR="0069136C" w:rsidRPr="009F159A" w:rsidRDefault="0069136C" w:rsidP="00550C34">
            <w:pPr>
              <w:rPr>
                <w:szCs w:val="24"/>
              </w:rPr>
            </w:pPr>
            <w:r w:rsidRPr="0069136C">
              <w:rPr>
                <w:szCs w:val="24"/>
              </w:rPr>
              <w:t>14-digit number assigned to identify trade items at various packaging levels</w:t>
            </w:r>
          </w:p>
        </w:tc>
      </w:tr>
      <w:tr w:rsidR="009F159A" w:rsidRPr="001E76C4" w:rsidTr="009F159A">
        <w:tc>
          <w:tcPr>
            <w:tcW w:w="3369" w:type="dxa"/>
          </w:tcPr>
          <w:p w:rsidR="009F159A" w:rsidRDefault="009F159A" w:rsidP="009F159A">
            <w:pPr>
              <w:rPr>
                <w:sz w:val="24"/>
                <w:szCs w:val="24"/>
              </w:rPr>
            </w:pPr>
            <w:r>
              <w:rPr>
                <w:sz w:val="24"/>
                <w:szCs w:val="24"/>
              </w:rPr>
              <w:t>bf:VideoGamePlatformIdentifier</w:t>
            </w:r>
          </w:p>
        </w:tc>
        <w:tc>
          <w:tcPr>
            <w:tcW w:w="6346" w:type="dxa"/>
          </w:tcPr>
          <w:p w:rsidR="009F159A" w:rsidRPr="001B28AE" w:rsidRDefault="009F159A" w:rsidP="00550C34">
            <w:pPr>
              <w:rPr>
                <w:szCs w:val="24"/>
              </w:rPr>
            </w:pPr>
            <w:r w:rsidRPr="009F159A">
              <w:rPr>
                <w:szCs w:val="24"/>
              </w:rPr>
              <w:t>Identifier assigned to a video game platform, e.g., CUSA 54321 (a PlayStation 4 number)</w:t>
            </w:r>
          </w:p>
        </w:tc>
      </w:tr>
    </w:tbl>
    <w:p w:rsidR="00321C5C" w:rsidRDefault="00321C5C" w:rsidP="008D5AF7">
      <w:pPr>
        <w:rPr>
          <w:sz w:val="24"/>
          <w:szCs w:val="24"/>
        </w:rPr>
      </w:pPr>
    </w:p>
    <w:p w:rsidR="009F159A" w:rsidRDefault="009F159A" w:rsidP="008D5AF7">
      <w:pPr>
        <w:rPr>
          <w:b/>
          <w:sz w:val="24"/>
          <w:szCs w:val="24"/>
        </w:rPr>
      </w:pPr>
      <w:r w:rsidRPr="009F159A">
        <w:rPr>
          <w:b/>
          <w:sz w:val="24"/>
          <w:szCs w:val="24"/>
        </w:rPr>
        <w:t>Notes on new subclasses</w:t>
      </w:r>
    </w:p>
    <w:p w:rsidR="009F159A" w:rsidRPr="009F159A" w:rsidRDefault="009F159A" w:rsidP="008D5AF7">
      <w:pPr>
        <w:rPr>
          <w:sz w:val="24"/>
          <w:szCs w:val="24"/>
        </w:rPr>
      </w:pPr>
      <w:r>
        <w:rPr>
          <w:b/>
          <w:sz w:val="24"/>
          <w:szCs w:val="24"/>
        </w:rPr>
        <w:t>General note:</w:t>
      </w:r>
      <w:r>
        <w:rPr>
          <w:sz w:val="24"/>
          <w:szCs w:val="24"/>
        </w:rPr>
        <w:t xml:space="preserve"> All these identifiers</w:t>
      </w:r>
      <w:r w:rsidR="00EB3DF5">
        <w:rPr>
          <w:sz w:val="24"/>
          <w:szCs w:val="24"/>
        </w:rPr>
        <w:t xml:space="preserve"> may be numeric or alphanumeric in content, though they are commonly referred to as numbers. There was a general wish in the PMO group to use “Identifier” in the name as opposed to “Number” to make this clear. </w:t>
      </w:r>
    </w:p>
    <w:p w:rsidR="009F159A" w:rsidRPr="00EB3DF5" w:rsidRDefault="009F159A" w:rsidP="008D5AF7">
      <w:pPr>
        <w:rPr>
          <w:sz w:val="24"/>
          <w:szCs w:val="24"/>
        </w:rPr>
      </w:pPr>
      <w:r w:rsidRPr="009F159A">
        <w:rPr>
          <w:b/>
          <w:sz w:val="24"/>
          <w:szCs w:val="24"/>
        </w:rPr>
        <w:t>bf:AudioTake:</w:t>
      </w:r>
      <w:r>
        <w:rPr>
          <w:b/>
          <w:sz w:val="24"/>
          <w:szCs w:val="24"/>
        </w:rPr>
        <w:t xml:space="preserve"> </w:t>
      </w:r>
      <w:r w:rsidRPr="00EB3DF5">
        <w:rPr>
          <w:sz w:val="24"/>
          <w:szCs w:val="24"/>
        </w:rPr>
        <w:t>Take numbers represent individual units of a recording session, e.g. a recording of an individual song. Multiple takes of the same content might take place in a single recording session, one of which would be chosen for publication of the initial recording. Later issues of the recording might use another take and contemporary reissues of recordings often include multiple takes of the same work in the same publication. Multiple takes of the same work result in multiple unique performances, and especially with early recordings, those performances might include different performers. While not used a great deal in general cataloging, take numbers are of great importance to sound archivists and record collectors, in identifying performers and dates of recordings.</w:t>
      </w:r>
    </w:p>
    <w:p w:rsidR="009F159A" w:rsidRPr="00EB3DF5" w:rsidRDefault="009F159A" w:rsidP="0069136C">
      <w:r>
        <w:rPr>
          <w:b/>
        </w:rPr>
        <w:t>bf:</w:t>
      </w:r>
      <w:r w:rsidR="00FD1352">
        <w:rPr>
          <w:b/>
        </w:rPr>
        <w:t>Music</w:t>
      </w:r>
      <w:r>
        <w:rPr>
          <w:b/>
        </w:rPr>
        <w:t>Distribu</w:t>
      </w:r>
      <w:r w:rsidR="00EB3DF5">
        <w:rPr>
          <w:b/>
        </w:rPr>
        <w:t>torIdentifier</w:t>
      </w:r>
      <w:r>
        <w:rPr>
          <w:b/>
        </w:rPr>
        <w:t xml:space="preserve">: </w:t>
      </w:r>
      <w:r w:rsidRPr="00EB3DF5">
        <w:t xml:space="preserve">The distributor </w:t>
      </w:r>
      <w:r w:rsidR="00EB3DF5" w:rsidRPr="00EB3DF5">
        <w:t>identifier</w:t>
      </w:r>
      <w:r w:rsidRPr="00EB3DF5">
        <w:t xml:space="preserve"> for music and moving image resources was approved for addition the MARC 21 format at ALA Annual 2016 (</w:t>
      </w:r>
      <w:r w:rsidRPr="00EB3DF5">
        <w:rPr>
          <w:i/>
          <w:iCs/>
        </w:rPr>
        <w:t>see</w:t>
      </w:r>
      <w:r w:rsidRPr="00EB3DF5">
        <w:t> </w:t>
      </w:r>
      <w:hyperlink r:id="rId7" w:history="1">
        <w:r w:rsidRPr="00EB3DF5">
          <w:t xml:space="preserve">Proposal </w:t>
        </w:r>
        <w:r w:rsidRPr="0069136C">
          <w:rPr>
            <w:color w:val="0070C0"/>
          </w:rPr>
          <w:t>2016-09</w:t>
        </w:r>
      </w:hyperlink>
      <w:r w:rsidRPr="00EB3DF5">
        <w:rPr>
          <w:i/>
          <w:iCs/>
        </w:rPr>
        <w:t>). </w:t>
      </w:r>
      <w:r w:rsidRPr="00EB3DF5">
        <w:t>The proposal came from both the music (MLA) and A-V (OLAC) communities. For conversion purposes, and in recognition of the importance of isolating this type of identifier, it makes sen</w:t>
      </w:r>
      <w:r w:rsidR="00EB3DF5" w:rsidRPr="00EB3DF5">
        <w:t>se to add it to BIBFRAME</w:t>
      </w:r>
      <w:r w:rsidRPr="00EB3DF5">
        <w:t>.</w:t>
      </w:r>
    </w:p>
    <w:p w:rsidR="0069136C" w:rsidRPr="0069136C" w:rsidRDefault="0069136C" w:rsidP="008D5AF7">
      <w:pPr>
        <w:rPr>
          <w:sz w:val="24"/>
          <w:szCs w:val="24"/>
        </w:rPr>
      </w:pPr>
      <w:r>
        <w:rPr>
          <w:b/>
          <w:sz w:val="24"/>
          <w:szCs w:val="24"/>
        </w:rPr>
        <w:t>bf:Gtin14Number:</w:t>
      </w:r>
      <w:r>
        <w:rPr>
          <w:sz w:val="24"/>
          <w:szCs w:val="24"/>
        </w:rPr>
        <w:t xml:space="preserve"> While rarely </w:t>
      </w:r>
      <w:r w:rsidRPr="0069136C">
        <w:rPr>
          <w:sz w:val="24"/>
          <w:szCs w:val="24"/>
        </w:rPr>
        <w:t>actively used by catalogers, the GTIN-14 number (</w:t>
      </w:r>
      <w:r w:rsidRPr="0069136C">
        <w:rPr>
          <w:i/>
          <w:iCs/>
          <w:sz w:val="24"/>
          <w:szCs w:val="24"/>
        </w:rPr>
        <w:t>see</w:t>
      </w:r>
      <w:r w:rsidRPr="0069136C">
        <w:rPr>
          <w:sz w:val="24"/>
          <w:szCs w:val="24"/>
        </w:rPr>
        <w:t> </w:t>
      </w:r>
      <w:hyperlink r:id="rId8" w:history="1">
        <w:r w:rsidRPr="0069136C">
          <w:rPr>
            <w:color w:val="0070C0"/>
            <w:u w:val="single"/>
          </w:rPr>
          <w:t>http://www.gtin.info/</w:t>
        </w:r>
      </w:hyperlink>
      <w:r w:rsidRPr="0069136C">
        <w:rPr>
          <w:sz w:val="24"/>
          <w:szCs w:val="24"/>
        </w:rPr>
        <w:t>) often appears in MARC records provided by vendors. It will be useful for conversion purposes and for keeping BIBFRAME available to a wide community of users.</w:t>
      </w:r>
    </w:p>
    <w:p w:rsidR="00E9693F" w:rsidRPr="0069136C" w:rsidRDefault="00EB3DF5" w:rsidP="008D5AF7">
      <w:pPr>
        <w:rPr>
          <w:sz w:val="24"/>
          <w:szCs w:val="24"/>
        </w:rPr>
      </w:pPr>
      <w:r w:rsidRPr="00EB3DF5">
        <w:rPr>
          <w:b/>
          <w:sz w:val="24"/>
          <w:szCs w:val="24"/>
        </w:rPr>
        <w:t>b</w:t>
      </w:r>
      <w:r w:rsidR="009F159A" w:rsidRPr="00EB3DF5">
        <w:rPr>
          <w:b/>
          <w:sz w:val="24"/>
          <w:szCs w:val="24"/>
        </w:rPr>
        <w:t>f:VideoGamePlatformIdentifier:</w:t>
      </w:r>
      <w:r w:rsidR="009F159A" w:rsidRPr="00EB3DF5">
        <w:rPr>
          <w:sz w:val="24"/>
          <w:szCs w:val="24"/>
        </w:rPr>
        <w:t xml:space="preserve"> A bit of a stretch in scope for the the Performed Music group, but we do have an avid video game cataloger and music is an important aspect of video games. OLAC best practices for cataloging video games suggest the addition of these identifiers.</w:t>
      </w:r>
    </w:p>
    <w:p w:rsidR="007C6F38" w:rsidRDefault="007C6F38" w:rsidP="008F036C">
      <w:pPr>
        <w:pStyle w:val="Default"/>
        <w:keepNext/>
        <w:keepLines/>
        <w:rPr>
          <w:b/>
        </w:rPr>
      </w:pPr>
    </w:p>
    <w:p w:rsidR="00C05F24" w:rsidRDefault="00C05F24" w:rsidP="00C05F24">
      <w:pPr>
        <w:rPr>
          <w:b/>
          <w:i/>
          <w:sz w:val="24"/>
          <w:szCs w:val="24"/>
        </w:rPr>
      </w:pPr>
      <w:r w:rsidRPr="00C05F24">
        <w:rPr>
          <w:b/>
          <w:sz w:val="24"/>
          <w:szCs w:val="24"/>
        </w:rPr>
        <w:t>Outcomes</w:t>
      </w:r>
      <w:r>
        <w:rPr>
          <w:b/>
          <w:sz w:val="24"/>
          <w:szCs w:val="24"/>
        </w:rPr>
        <w:t xml:space="preserve"> </w:t>
      </w:r>
      <w:r w:rsidRPr="00C05F24">
        <w:rPr>
          <w:b/>
          <w:i/>
          <w:sz w:val="24"/>
          <w:szCs w:val="24"/>
        </w:rPr>
        <w:t>(</w:t>
      </w:r>
      <w:r>
        <w:rPr>
          <w:b/>
          <w:i/>
          <w:sz w:val="24"/>
          <w:szCs w:val="24"/>
        </w:rPr>
        <w:t>updated 22 March 2017)</w:t>
      </w:r>
    </w:p>
    <w:p w:rsidR="00C05F24" w:rsidRDefault="00C05F24" w:rsidP="00C05F24">
      <w:pPr>
        <w:rPr>
          <w:sz w:val="24"/>
          <w:szCs w:val="24"/>
        </w:rPr>
      </w:pPr>
      <w:r>
        <w:rPr>
          <w:sz w:val="24"/>
          <w:szCs w:val="24"/>
        </w:rPr>
        <w:t>Class name in Bibframe changed:</w:t>
      </w:r>
    </w:p>
    <w:p w:rsidR="00C05F24" w:rsidRDefault="00C05F24" w:rsidP="00C05F24">
      <w:pPr>
        <w:rPr>
          <w:sz w:val="24"/>
          <w:szCs w:val="24"/>
        </w:rPr>
      </w:pPr>
      <w:r>
        <w:rPr>
          <w:sz w:val="24"/>
          <w:szCs w:val="24"/>
        </w:rPr>
        <w:t>bf:IssueNumber to bf:AudioIssueNumber</w:t>
      </w:r>
    </w:p>
    <w:p w:rsidR="00C05F24" w:rsidRDefault="00C05F24" w:rsidP="00C05F24">
      <w:pPr>
        <w:rPr>
          <w:sz w:val="24"/>
          <w:szCs w:val="24"/>
        </w:rPr>
      </w:pPr>
      <w:r>
        <w:rPr>
          <w:sz w:val="24"/>
          <w:szCs w:val="24"/>
        </w:rPr>
        <w:t>Added to BF core ontology:</w:t>
      </w:r>
    </w:p>
    <w:p w:rsidR="00C05F24" w:rsidRDefault="00C05F24" w:rsidP="00C05F24">
      <w:pPr>
        <w:spacing w:after="0"/>
        <w:rPr>
          <w:sz w:val="24"/>
          <w:szCs w:val="24"/>
        </w:rPr>
      </w:pPr>
      <w:r>
        <w:rPr>
          <w:sz w:val="24"/>
          <w:szCs w:val="24"/>
        </w:rPr>
        <w:lastRenderedPageBreak/>
        <w:t>bf:AudioTake</w:t>
      </w:r>
    </w:p>
    <w:p w:rsidR="00C05F24" w:rsidRDefault="00C05F24" w:rsidP="00C05F24">
      <w:pPr>
        <w:spacing w:after="0"/>
        <w:rPr>
          <w:sz w:val="24"/>
          <w:szCs w:val="24"/>
        </w:rPr>
      </w:pPr>
      <w:r>
        <w:rPr>
          <w:sz w:val="24"/>
          <w:szCs w:val="24"/>
        </w:rPr>
        <w:t>bf:MusicDistributor</w:t>
      </w:r>
    </w:p>
    <w:p w:rsidR="00C05F24" w:rsidRDefault="00C05F24" w:rsidP="00C05F24">
      <w:pPr>
        <w:spacing w:after="0"/>
        <w:rPr>
          <w:sz w:val="24"/>
          <w:szCs w:val="24"/>
        </w:rPr>
      </w:pPr>
      <w:r>
        <w:rPr>
          <w:sz w:val="24"/>
          <w:szCs w:val="24"/>
        </w:rPr>
        <w:t>bf:Gtin14Number</w:t>
      </w:r>
    </w:p>
    <w:p w:rsidR="00C05F24" w:rsidRDefault="00C05F24" w:rsidP="00C05F24">
      <w:pPr>
        <w:spacing w:after="0"/>
        <w:rPr>
          <w:sz w:val="24"/>
          <w:szCs w:val="24"/>
        </w:rPr>
      </w:pPr>
      <w:r>
        <w:rPr>
          <w:sz w:val="24"/>
          <w:szCs w:val="24"/>
        </w:rPr>
        <w:t>It was expected that bf:VideoGamePlatformIdentifer would be accepted, but it is not in the latest update.</w:t>
      </w:r>
    </w:p>
    <w:p w:rsidR="00C05F24" w:rsidRDefault="00C05F24" w:rsidP="00C05F24">
      <w:pPr>
        <w:spacing w:after="0"/>
        <w:rPr>
          <w:sz w:val="24"/>
          <w:szCs w:val="24"/>
        </w:rPr>
      </w:pPr>
    </w:p>
    <w:p w:rsidR="00C05F24" w:rsidRDefault="00C05F24" w:rsidP="00C05F24">
      <w:pPr>
        <w:spacing w:after="0"/>
        <w:rPr>
          <w:sz w:val="24"/>
          <w:szCs w:val="24"/>
        </w:rPr>
      </w:pPr>
      <w:r>
        <w:rPr>
          <w:sz w:val="24"/>
          <w:szCs w:val="24"/>
        </w:rPr>
        <w:t>Changes to definitions:</w:t>
      </w:r>
    </w:p>
    <w:p w:rsidR="00C05F24" w:rsidRDefault="00C05F24" w:rsidP="00C05F24">
      <w:pPr>
        <w:spacing w:after="0"/>
        <w:rPr>
          <w:sz w:val="24"/>
          <w:szCs w:val="24"/>
        </w:rPr>
      </w:pPr>
      <w:r>
        <w:rPr>
          <w:sz w:val="24"/>
          <w:szCs w:val="24"/>
        </w:rPr>
        <w:t>bf:AudioIssueNumber</w:t>
      </w:r>
      <w:bookmarkStart w:id="0" w:name="_GoBack"/>
      <w:bookmarkEnd w:id="0"/>
    </w:p>
    <w:p w:rsidR="00C05F24" w:rsidRDefault="00C05F24" w:rsidP="00C05F24">
      <w:pPr>
        <w:spacing w:after="0"/>
        <w:rPr>
          <w:sz w:val="24"/>
          <w:szCs w:val="24"/>
        </w:rPr>
      </w:pPr>
      <w:r>
        <w:rPr>
          <w:sz w:val="24"/>
          <w:szCs w:val="24"/>
        </w:rPr>
        <w:t>bf:MatrixNumber</w:t>
      </w:r>
    </w:p>
    <w:p w:rsidR="00C05F24" w:rsidRPr="00C05F24" w:rsidRDefault="00C05F24" w:rsidP="00C05F24">
      <w:pPr>
        <w:spacing w:after="0"/>
      </w:pPr>
      <w:r>
        <w:rPr>
          <w:sz w:val="24"/>
          <w:szCs w:val="24"/>
        </w:rPr>
        <w:t>bf:MusicPublisherNumber</w:t>
      </w:r>
    </w:p>
    <w:sectPr w:rsidR="00C05F24" w:rsidRPr="00C05F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C1" w:rsidRDefault="005665C1" w:rsidP="00575885">
      <w:pPr>
        <w:spacing w:after="0" w:line="240" w:lineRule="auto"/>
      </w:pPr>
      <w:r>
        <w:separator/>
      </w:r>
    </w:p>
  </w:endnote>
  <w:endnote w:type="continuationSeparator" w:id="0">
    <w:p w:rsidR="005665C1" w:rsidRDefault="005665C1" w:rsidP="0057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442346"/>
      <w:docPartObj>
        <w:docPartGallery w:val="Page Numbers (Bottom of Page)"/>
        <w:docPartUnique/>
      </w:docPartObj>
    </w:sdtPr>
    <w:sdtEndPr>
      <w:rPr>
        <w:noProof/>
      </w:rPr>
    </w:sdtEndPr>
    <w:sdtContent>
      <w:p w:rsidR="00575885" w:rsidRDefault="00575885">
        <w:pPr>
          <w:pStyle w:val="Footer"/>
          <w:jc w:val="right"/>
        </w:pPr>
        <w:r>
          <w:fldChar w:fldCharType="begin"/>
        </w:r>
        <w:r>
          <w:instrText xml:space="preserve"> PAGE   \* MERGEFORMAT </w:instrText>
        </w:r>
        <w:r>
          <w:fldChar w:fldCharType="separate"/>
        </w:r>
        <w:r w:rsidR="00101BA7">
          <w:rPr>
            <w:noProof/>
          </w:rPr>
          <w:t>4</w:t>
        </w:r>
        <w:r>
          <w:rPr>
            <w:noProof/>
          </w:rPr>
          <w:fldChar w:fldCharType="end"/>
        </w:r>
      </w:p>
    </w:sdtContent>
  </w:sdt>
  <w:p w:rsidR="00575885" w:rsidRDefault="0057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C1" w:rsidRDefault="005665C1" w:rsidP="00575885">
      <w:pPr>
        <w:spacing w:after="0" w:line="240" w:lineRule="auto"/>
      </w:pPr>
      <w:r>
        <w:separator/>
      </w:r>
    </w:p>
  </w:footnote>
  <w:footnote w:type="continuationSeparator" w:id="0">
    <w:p w:rsidR="005665C1" w:rsidRDefault="005665C1" w:rsidP="0057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6FC6"/>
    <w:multiLevelType w:val="hybridMultilevel"/>
    <w:tmpl w:val="ABB0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E"/>
    <w:rsid w:val="000C7505"/>
    <w:rsid w:val="00101BA7"/>
    <w:rsid w:val="00114564"/>
    <w:rsid w:val="001A59B0"/>
    <w:rsid w:val="001B28AE"/>
    <w:rsid w:val="002032EF"/>
    <w:rsid w:val="002A12FF"/>
    <w:rsid w:val="00321C5C"/>
    <w:rsid w:val="00327412"/>
    <w:rsid w:val="003A6C98"/>
    <w:rsid w:val="004176E8"/>
    <w:rsid w:val="00492850"/>
    <w:rsid w:val="005665C1"/>
    <w:rsid w:val="00570233"/>
    <w:rsid w:val="00575885"/>
    <w:rsid w:val="0067391A"/>
    <w:rsid w:val="0069136C"/>
    <w:rsid w:val="00764E30"/>
    <w:rsid w:val="00777EA2"/>
    <w:rsid w:val="00781376"/>
    <w:rsid w:val="007C5CDB"/>
    <w:rsid w:val="007C6F38"/>
    <w:rsid w:val="00813095"/>
    <w:rsid w:val="00887E65"/>
    <w:rsid w:val="008C0D5E"/>
    <w:rsid w:val="008D5AF7"/>
    <w:rsid w:val="008D5DCA"/>
    <w:rsid w:val="008F036C"/>
    <w:rsid w:val="009477E5"/>
    <w:rsid w:val="009C5414"/>
    <w:rsid w:val="009F159A"/>
    <w:rsid w:val="00A9500D"/>
    <w:rsid w:val="00AA2745"/>
    <w:rsid w:val="00B151AD"/>
    <w:rsid w:val="00C05F24"/>
    <w:rsid w:val="00C46476"/>
    <w:rsid w:val="00C75B2A"/>
    <w:rsid w:val="00CF0D9D"/>
    <w:rsid w:val="00DE189E"/>
    <w:rsid w:val="00E50596"/>
    <w:rsid w:val="00E900F3"/>
    <w:rsid w:val="00E9693F"/>
    <w:rsid w:val="00EA58B1"/>
    <w:rsid w:val="00EB3DF5"/>
    <w:rsid w:val="00FA3568"/>
    <w:rsid w:val="00FD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8448"/>
  <w15:chartTrackingRefBased/>
  <w15:docId w15:val="{4AA47523-3C72-4016-A19E-A4A50411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9E"/>
    <w:pPr>
      <w:ind w:left="720"/>
      <w:contextualSpacing/>
    </w:pPr>
  </w:style>
  <w:style w:type="character" w:styleId="Emphasis">
    <w:name w:val="Emphasis"/>
    <w:basedOn w:val="DefaultParagraphFont"/>
    <w:uiPriority w:val="20"/>
    <w:qFormat/>
    <w:rsid w:val="001A59B0"/>
    <w:rPr>
      <w:i/>
      <w:iCs/>
    </w:rPr>
  </w:style>
  <w:style w:type="paragraph" w:customStyle="1" w:styleId="Default">
    <w:name w:val="Default"/>
    <w:rsid w:val="007C6F38"/>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575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885"/>
  </w:style>
  <w:style w:type="paragraph" w:styleId="Footer">
    <w:name w:val="footer"/>
    <w:basedOn w:val="Normal"/>
    <w:link w:val="FooterChar"/>
    <w:uiPriority w:val="99"/>
    <w:unhideWhenUsed/>
    <w:rsid w:val="00575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885"/>
  </w:style>
  <w:style w:type="character" w:customStyle="1" w:styleId="apple-converted-space">
    <w:name w:val="apple-converted-space"/>
    <w:basedOn w:val="DefaultParagraphFont"/>
    <w:rsid w:val="009F159A"/>
  </w:style>
  <w:style w:type="character" w:styleId="Hyperlink">
    <w:name w:val="Hyperlink"/>
    <w:basedOn w:val="DefaultParagraphFont"/>
    <w:uiPriority w:val="99"/>
    <w:semiHidden/>
    <w:unhideWhenUsed/>
    <w:rsid w:val="009F159A"/>
    <w:rPr>
      <w:color w:val="0000FF"/>
      <w:u w:val="single"/>
    </w:rPr>
  </w:style>
  <w:style w:type="character" w:styleId="IntenseReference">
    <w:name w:val="Intense Reference"/>
    <w:basedOn w:val="DefaultParagraphFont"/>
    <w:uiPriority w:val="32"/>
    <w:qFormat/>
    <w:rsid w:val="0069136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in.info/" TargetMode="External"/><Relationship Id="rId3" Type="http://schemas.openxmlformats.org/officeDocument/2006/relationships/settings" Target="settings.xml"/><Relationship Id="rId7" Type="http://schemas.openxmlformats.org/officeDocument/2006/relationships/hyperlink" Target="https://www.loc.gov/marc/mac/2016/2016-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2</cp:revision>
  <dcterms:created xsi:type="dcterms:W3CDTF">2017-03-23T02:20:00Z</dcterms:created>
  <dcterms:modified xsi:type="dcterms:W3CDTF">2017-03-23T02:20:00Z</dcterms:modified>
</cp:coreProperties>
</file>